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D512D" w14:textId="4D3E459B" w:rsidR="000E579A" w:rsidRPr="007F69F9" w:rsidRDefault="007F69F9" w:rsidP="007F69F9">
      <w:pPr>
        <w:jc w:val="center"/>
        <w:rPr>
          <w:szCs w:val="28"/>
          <w:lang w:val="it-IT"/>
        </w:rPr>
      </w:pPr>
      <w:r w:rsidRPr="007F69F9">
        <w:rPr>
          <w:szCs w:val="28"/>
          <w:lang w:val="it-IT"/>
        </w:rPr>
        <w:t>** VERSIONE ANTEPRIMA GRATUITA **</w:t>
      </w:r>
    </w:p>
    <w:p w14:paraId="00EFE50C" w14:textId="77777777" w:rsidR="000E579A" w:rsidRPr="00F20E0E" w:rsidRDefault="000E579A" w:rsidP="000E579A">
      <w:pPr>
        <w:rPr>
          <w:b/>
          <w:sz w:val="28"/>
          <w:szCs w:val="28"/>
          <w:lang w:val="it-IT"/>
        </w:rPr>
      </w:pPr>
    </w:p>
    <w:p w14:paraId="0E32AB98" w14:textId="77777777" w:rsidR="000E579A" w:rsidRPr="00F20E0E" w:rsidRDefault="000E579A" w:rsidP="000E579A">
      <w:pPr>
        <w:rPr>
          <w:b/>
          <w:sz w:val="28"/>
          <w:szCs w:val="28"/>
          <w:lang w:val="it-IT"/>
        </w:rPr>
      </w:pPr>
      <w:r w:rsidRPr="00F20E0E">
        <w:rPr>
          <w:b/>
          <w:sz w:val="28"/>
          <w:szCs w:val="28"/>
          <w:lang w:val="it-IT"/>
        </w:rPr>
        <w:t xml:space="preserve"> </w:t>
      </w:r>
    </w:p>
    <w:p w14:paraId="48ED9C78" w14:textId="77777777" w:rsidR="000E579A" w:rsidRPr="00F20E0E" w:rsidRDefault="000E579A" w:rsidP="000E579A">
      <w:pPr>
        <w:rPr>
          <w:lang w:val="it-IT"/>
        </w:rPr>
      </w:pPr>
    </w:p>
    <w:p w14:paraId="5E987A0D" w14:textId="77777777" w:rsidR="000E579A" w:rsidRPr="00F20E0E" w:rsidRDefault="000E579A" w:rsidP="000E579A">
      <w:pPr>
        <w:rPr>
          <w:lang w:val="it-IT"/>
        </w:rPr>
      </w:pPr>
    </w:p>
    <w:p w14:paraId="1A8F2DC6" w14:textId="77777777" w:rsidR="000E579A" w:rsidRPr="00F20E0E" w:rsidRDefault="000E579A" w:rsidP="000E579A">
      <w:pPr>
        <w:rPr>
          <w:lang w:val="it-IT"/>
        </w:rPr>
      </w:pPr>
    </w:p>
    <w:p w14:paraId="01DBD1BC" w14:textId="77777777" w:rsidR="000E579A" w:rsidRPr="00F20E0E" w:rsidRDefault="000E579A" w:rsidP="000E579A">
      <w:pPr>
        <w:jc w:val="center"/>
        <w:rPr>
          <w:lang w:val="it-IT"/>
        </w:rPr>
      </w:pPr>
      <w:commentRangeStart w:id="0"/>
      <w:r w:rsidRPr="00F20E0E">
        <w:rPr>
          <w:lang w:val="it-IT"/>
        </w:rPr>
        <w:t>[logo dell’organizzazione]</w:t>
      </w:r>
      <w:commentRangeEnd w:id="0"/>
      <w:r w:rsidRPr="00F20E0E">
        <w:rPr>
          <w:rStyle w:val="CommentReference"/>
          <w:lang w:val="it-IT"/>
        </w:rPr>
        <w:commentReference w:id="0"/>
      </w:r>
    </w:p>
    <w:p w14:paraId="6909D3BD" w14:textId="77777777" w:rsidR="000E579A" w:rsidRPr="00F20E0E" w:rsidRDefault="000E579A" w:rsidP="000E579A">
      <w:pPr>
        <w:jc w:val="center"/>
        <w:rPr>
          <w:lang w:val="it-IT"/>
        </w:rPr>
      </w:pPr>
      <w:r w:rsidRPr="00F20E0E">
        <w:rPr>
          <w:lang w:val="it-IT"/>
        </w:rPr>
        <w:t>[nome dell’organizzazione]</w:t>
      </w:r>
    </w:p>
    <w:p w14:paraId="390CED94" w14:textId="77777777" w:rsidR="000E579A" w:rsidRPr="00F20E0E" w:rsidRDefault="000E579A" w:rsidP="000E579A">
      <w:pPr>
        <w:jc w:val="center"/>
        <w:rPr>
          <w:lang w:val="it-IT"/>
        </w:rPr>
      </w:pPr>
    </w:p>
    <w:p w14:paraId="4003112B" w14:textId="77777777" w:rsidR="000E579A" w:rsidRPr="00F20E0E" w:rsidRDefault="000E579A" w:rsidP="000E579A">
      <w:pPr>
        <w:jc w:val="center"/>
        <w:rPr>
          <w:lang w:val="it-IT"/>
        </w:rPr>
      </w:pPr>
    </w:p>
    <w:p w14:paraId="50B6869F" w14:textId="77777777" w:rsidR="000E579A" w:rsidRPr="00F20E0E" w:rsidRDefault="000E579A" w:rsidP="000E579A">
      <w:pPr>
        <w:jc w:val="center"/>
        <w:rPr>
          <w:b/>
          <w:sz w:val="32"/>
          <w:szCs w:val="32"/>
          <w:lang w:val="it-IT"/>
        </w:rPr>
      </w:pPr>
      <w:commentRangeStart w:id="1"/>
      <w:commentRangeStart w:id="2"/>
      <w:r w:rsidRPr="00F20E0E">
        <w:rPr>
          <w:b/>
          <w:sz w:val="32"/>
          <w:lang w:val="it-IT"/>
        </w:rPr>
        <w:t>PIANO DI DISASTER RECOVERY</w:t>
      </w:r>
      <w:commentRangeEnd w:id="1"/>
      <w:r w:rsidRPr="00F20E0E">
        <w:rPr>
          <w:lang w:val="it-IT"/>
        </w:rPr>
        <w:commentReference w:id="1"/>
      </w:r>
      <w:commentRangeEnd w:id="2"/>
      <w:r w:rsidRPr="00F20E0E">
        <w:rPr>
          <w:rStyle w:val="CommentReference"/>
          <w:lang w:val="it-IT"/>
        </w:rPr>
        <w:commentReference w:id="2"/>
      </w:r>
    </w:p>
    <w:p w14:paraId="0557601A" w14:textId="77777777" w:rsidR="000E579A" w:rsidRPr="00F20E0E" w:rsidRDefault="000E579A" w:rsidP="000E579A">
      <w:pPr>
        <w:jc w:val="cente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E579A" w:rsidRPr="00F20E0E" w14:paraId="2E4321C6" w14:textId="77777777" w:rsidTr="00280A89">
        <w:tc>
          <w:tcPr>
            <w:tcW w:w="2376" w:type="dxa"/>
          </w:tcPr>
          <w:p w14:paraId="040E6CDD" w14:textId="77777777" w:rsidR="000E579A" w:rsidRPr="00F20E0E" w:rsidRDefault="000E579A" w:rsidP="00280A89">
            <w:pPr>
              <w:rPr>
                <w:lang w:val="it-IT"/>
              </w:rPr>
            </w:pPr>
            <w:commentRangeStart w:id="3"/>
            <w:r w:rsidRPr="00F20E0E">
              <w:rPr>
                <w:lang w:val="it-IT"/>
              </w:rPr>
              <w:t>Codice</w:t>
            </w:r>
            <w:commentRangeEnd w:id="3"/>
            <w:r w:rsidRPr="00F20E0E">
              <w:rPr>
                <w:rStyle w:val="CommentReference"/>
                <w:lang w:val="it-IT"/>
              </w:rPr>
              <w:commentReference w:id="3"/>
            </w:r>
            <w:r w:rsidRPr="00F20E0E">
              <w:rPr>
                <w:lang w:val="it-IT"/>
              </w:rPr>
              <w:t>:</w:t>
            </w:r>
          </w:p>
        </w:tc>
        <w:tc>
          <w:tcPr>
            <w:tcW w:w="6912" w:type="dxa"/>
          </w:tcPr>
          <w:p w14:paraId="3872FC3A" w14:textId="77777777" w:rsidR="000E579A" w:rsidRPr="00F20E0E" w:rsidRDefault="000E579A" w:rsidP="00280A89">
            <w:pPr>
              <w:rPr>
                <w:lang w:val="it-IT"/>
              </w:rPr>
            </w:pPr>
          </w:p>
        </w:tc>
      </w:tr>
      <w:tr w:rsidR="000E579A" w:rsidRPr="00F20E0E" w14:paraId="53A7238D" w14:textId="77777777" w:rsidTr="00280A89">
        <w:tc>
          <w:tcPr>
            <w:tcW w:w="2376" w:type="dxa"/>
          </w:tcPr>
          <w:p w14:paraId="60738790" w14:textId="77777777" w:rsidR="000E579A" w:rsidRPr="00F20E0E" w:rsidRDefault="000E579A" w:rsidP="00280A89">
            <w:pPr>
              <w:rPr>
                <w:lang w:val="it-IT"/>
              </w:rPr>
            </w:pPr>
            <w:r w:rsidRPr="00F20E0E">
              <w:rPr>
                <w:lang w:val="it-IT"/>
              </w:rPr>
              <w:t>Revisione:</w:t>
            </w:r>
          </w:p>
        </w:tc>
        <w:tc>
          <w:tcPr>
            <w:tcW w:w="6912" w:type="dxa"/>
          </w:tcPr>
          <w:p w14:paraId="4B2488F6" w14:textId="77777777" w:rsidR="000E579A" w:rsidRPr="00F20E0E" w:rsidRDefault="000E579A" w:rsidP="00280A89">
            <w:pPr>
              <w:rPr>
                <w:lang w:val="it-IT"/>
              </w:rPr>
            </w:pPr>
          </w:p>
        </w:tc>
      </w:tr>
      <w:tr w:rsidR="000E579A" w:rsidRPr="00F20E0E" w14:paraId="7CCB6B64" w14:textId="77777777" w:rsidTr="00280A89">
        <w:tc>
          <w:tcPr>
            <w:tcW w:w="2376" w:type="dxa"/>
          </w:tcPr>
          <w:p w14:paraId="4E0BBE6D" w14:textId="77777777" w:rsidR="000E579A" w:rsidRPr="00F20E0E" w:rsidRDefault="000E579A" w:rsidP="00280A89">
            <w:pPr>
              <w:rPr>
                <w:lang w:val="it-IT"/>
              </w:rPr>
            </w:pPr>
            <w:r w:rsidRPr="00F20E0E">
              <w:rPr>
                <w:lang w:val="it-IT"/>
              </w:rPr>
              <w:t>Data di revisione:</w:t>
            </w:r>
          </w:p>
        </w:tc>
        <w:tc>
          <w:tcPr>
            <w:tcW w:w="6912" w:type="dxa"/>
          </w:tcPr>
          <w:p w14:paraId="33952C26" w14:textId="77777777" w:rsidR="000E579A" w:rsidRPr="00F20E0E" w:rsidRDefault="000E579A" w:rsidP="00280A89">
            <w:pPr>
              <w:rPr>
                <w:lang w:val="it-IT"/>
              </w:rPr>
            </w:pPr>
          </w:p>
        </w:tc>
      </w:tr>
      <w:tr w:rsidR="000E579A" w:rsidRPr="00F20E0E" w14:paraId="75BF8D3F" w14:textId="77777777" w:rsidTr="00280A89">
        <w:tc>
          <w:tcPr>
            <w:tcW w:w="2376" w:type="dxa"/>
          </w:tcPr>
          <w:p w14:paraId="22E3E75F" w14:textId="77777777" w:rsidR="000E579A" w:rsidRPr="00F20E0E" w:rsidRDefault="000E579A" w:rsidP="00280A89">
            <w:pPr>
              <w:rPr>
                <w:lang w:val="it-IT"/>
              </w:rPr>
            </w:pPr>
            <w:r w:rsidRPr="00F20E0E">
              <w:rPr>
                <w:lang w:val="it-IT"/>
              </w:rPr>
              <w:t>Redatta da:</w:t>
            </w:r>
          </w:p>
        </w:tc>
        <w:tc>
          <w:tcPr>
            <w:tcW w:w="6912" w:type="dxa"/>
          </w:tcPr>
          <w:p w14:paraId="1C2FEDB9" w14:textId="77777777" w:rsidR="000E579A" w:rsidRPr="00F20E0E" w:rsidRDefault="000E579A" w:rsidP="00280A89">
            <w:pPr>
              <w:rPr>
                <w:lang w:val="it-IT"/>
              </w:rPr>
            </w:pPr>
          </w:p>
        </w:tc>
      </w:tr>
      <w:tr w:rsidR="000E579A" w:rsidRPr="00F20E0E" w14:paraId="73B7145E" w14:textId="77777777" w:rsidTr="00280A89">
        <w:tc>
          <w:tcPr>
            <w:tcW w:w="2376" w:type="dxa"/>
          </w:tcPr>
          <w:p w14:paraId="509AAF2F" w14:textId="77777777" w:rsidR="000E579A" w:rsidRPr="00F20E0E" w:rsidRDefault="000E579A" w:rsidP="00280A89">
            <w:pPr>
              <w:rPr>
                <w:lang w:val="it-IT"/>
              </w:rPr>
            </w:pPr>
            <w:r w:rsidRPr="00F20E0E">
              <w:rPr>
                <w:lang w:val="it-IT"/>
              </w:rPr>
              <w:t>Approvata da:</w:t>
            </w:r>
          </w:p>
        </w:tc>
        <w:tc>
          <w:tcPr>
            <w:tcW w:w="6912" w:type="dxa"/>
          </w:tcPr>
          <w:p w14:paraId="593F7D4F" w14:textId="77777777" w:rsidR="000E579A" w:rsidRPr="00F20E0E" w:rsidRDefault="000E579A" w:rsidP="00280A89">
            <w:pPr>
              <w:rPr>
                <w:lang w:val="it-IT"/>
              </w:rPr>
            </w:pPr>
          </w:p>
        </w:tc>
      </w:tr>
      <w:tr w:rsidR="000E579A" w:rsidRPr="00F20E0E" w14:paraId="45E3CD2D" w14:textId="77777777" w:rsidTr="00280A89">
        <w:tc>
          <w:tcPr>
            <w:tcW w:w="2376" w:type="dxa"/>
          </w:tcPr>
          <w:p w14:paraId="51953DBA" w14:textId="77777777" w:rsidR="000E579A" w:rsidRPr="00F20E0E" w:rsidRDefault="000E579A" w:rsidP="00280A89">
            <w:pPr>
              <w:rPr>
                <w:lang w:val="it-IT"/>
              </w:rPr>
            </w:pPr>
            <w:r w:rsidRPr="00F20E0E">
              <w:rPr>
                <w:lang w:val="it-IT"/>
              </w:rPr>
              <w:t>Livello di Riservatezza:</w:t>
            </w:r>
          </w:p>
        </w:tc>
        <w:tc>
          <w:tcPr>
            <w:tcW w:w="6912" w:type="dxa"/>
          </w:tcPr>
          <w:p w14:paraId="656DF1D8" w14:textId="77777777" w:rsidR="000E579A" w:rsidRPr="00F20E0E" w:rsidRDefault="000E579A" w:rsidP="00280A89">
            <w:pPr>
              <w:rPr>
                <w:lang w:val="it-IT"/>
              </w:rPr>
            </w:pPr>
          </w:p>
        </w:tc>
      </w:tr>
    </w:tbl>
    <w:p w14:paraId="4F430BCB" w14:textId="77777777" w:rsidR="000E579A" w:rsidRPr="00F20E0E" w:rsidRDefault="000E579A" w:rsidP="000E579A">
      <w:pPr>
        <w:rPr>
          <w:lang w:val="it-IT"/>
        </w:rPr>
      </w:pPr>
      <w:r w:rsidRPr="00F20E0E">
        <w:rPr>
          <w:lang w:val="it-IT"/>
        </w:rPr>
        <w:br w:type="page"/>
      </w:r>
    </w:p>
    <w:p w14:paraId="5A28396B" w14:textId="77777777" w:rsidR="000E579A" w:rsidRPr="00F20E0E" w:rsidRDefault="000E579A" w:rsidP="000E579A">
      <w:pPr>
        <w:rPr>
          <w:b/>
          <w:sz w:val="28"/>
          <w:szCs w:val="28"/>
          <w:lang w:val="it-IT"/>
        </w:rPr>
      </w:pPr>
      <w:r w:rsidRPr="00F20E0E">
        <w:rPr>
          <w:b/>
          <w:sz w:val="28"/>
          <w:lang w:val="it-IT"/>
        </w:rPr>
        <w:lastRenderedPageBreak/>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0E579A" w:rsidRPr="00F20E0E" w14:paraId="7770AACF"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2FB36F" w14:textId="77777777" w:rsidR="000E579A" w:rsidRPr="00F20E0E" w:rsidRDefault="000E579A" w:rsidP="00280A89">
            <w:pPr>
              <w:rPr>
                <w:b/>
                <w:lang w:val="it-IT"/>
              </w:rPr>
            </w:pPr>
            <w:r w:rsidRPr="00F20E0E">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0382F0" w14:textId="77777777" w:rsidR="000E579A" w:rsidRPr="00F20E0E" w:rsidRDefault="000E579A" w:rsidP="00280A89">
            <w:pPr>
              <w:rPr>
                <w:b/>
                <w:lang w:val="it-IT"/>
              </w:rPr>
            </w:pPr>
            <w:r w:rsidRPr="00F20E0E">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C31452" w14:textId="77777777" w:rsidR="000E579A" w:rsidRPr="00F20E0E" w:rsidRDefault="000E579A" w:rsidP="00280A89">
            <w:pPr>
              <w:rPr>
                <w:b/>
                <w:lang w:val="it-IT"/>
              </w:rPr>
            </w:pPr>
            <w:r w:rsidRPr="00F20E0E">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EF4D2F" w14:textId="77777777" w:rsidR="000E579A" w:rsidRPr="00F20E0E" w:rsidRDefault="000E579A" w:rsidP="00280A89">
            <w:pPr>
              <w:rPr>
                <w:b/>
                <w:lang w:val="it-IT"/>
              </w:rPr>
            </w:pPr>
            <w:r w:rsidRPr="00F20E0E">
              <w:rPr>
                <w:b/>
                <w:lang w:val="it-IT"/>
              </w:rPr>
              <w:t>Descrizione della modifica</w:t>
            </w:r>
          </w:p>
        </w:tc>
      </w:tr>
      <w:tr w:rsidR="000E579A" w:rsidRPr="00F20E0E" w14:paraId="2E573FBF"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5C3E2" w14:textId="77777777" w:rsidR="000E579A" w:rsidRPr="00F20E0E" w:rsidRDefault="000E579A" w:rsidP="00280A89">
            <w:pPr>
              <w:rPr>
                <w:lang w:val="it-IT"/>
              </w:rPr>
            </w:pPr>
            <w:r w:rsidRPr="00F20E0E">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487DB5" w14:textId="77777777" w:rsidR="000E579A" w:rsidRPr="00F20E0E" w:rsidRDefault="000E579A" w:rsidP="00280A89">
            <w:pPr>
              <w:rPr>
                <w:lang w:val="it-IT"/>
              </w:rPr>
            </w:pPr>
            <w:r w:rsidRPr="00F20E0E">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0B62F7" w14:textId="77777777" w:rsidR="000E579A" w:rsidRPr="00F20E0E" w:rsidRDefault="000E579A" w:rsidP="00280A89">
            <w:pPr>
              <w:rPr>
                <w:lang w:val="it-IT"/>
              </w:rPr>
            </w:pPr>
            <w:r w:rsidRPr="00F20E0E">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E0923E" w14:textId="77777777" w:rsidR="000E579A" w:rsidRPr="00F20E0E" w:rsidRDefault="000E579A" w:rsidP="00280A89">
            <w:pPr>
              <w:rPr>
                <w:lang w:val="it-IT"/>
              </w:rPr>
            </w:pPr>
            <w:r w:rsidRPr="00F20E0E">
              <w:rPr>
                <w:lang w:val="it-IT"/>
              </w:rPr>
              <w:t>Bozza del documento base</w:t>
            </w:r>
          </w:p>
        </w:tc>
      </w:tr>
      <w:tr w:rsidR="000E579A" w:rsidRPr="00F20E0E" w14:paraId="0700CF66"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55974"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B59386"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E97A75"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0BC13B" w14:textId="77777777" w:rsidR="000E579A" w:rsidRPr="00F20E0E" w:rsidRDefault="000E579A" w:rsidP="00280A89">
            <w:pPr>
              <w:rPr>
                <w:lang w:val="it-IT"/>
              </w:rPr>
            </w:pPr>
          </w:p>
        </w:tc>
      </w:tr>
      <w:tr w:rsidR="000E579A" w:rsidRPr="00F20E0E" w14:paraId="28283F68"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214329"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A6432"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82A603"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277E63" w14:textId="77777777" w:rsidR="000E579A" w:rsidRPr="00F20E0E" w:rsidRDefault="000E579A" w:rsidP="00280A89">
            <w:pPr>
              <w:rPr>
                <w:lang w:val="it-IT"/>
              </w:rPr>
            </w:pPr>
          </w:p>
        </w:tc>
      </w:tr>
      <w:tr w:rsidR="000E579A" w:rsidRPr="00F20E0E" w14:paraId="4F5C4E61"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154F66"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93D4FE"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5F056B"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5F9823" w14:textId="77777777" w:rsidR="000E579A" w:rsidRPr="00F20E0E" w:rsidRDefault="000E579A" w:rsidP="00280A89">
            <w:pPr>
              <w:rPr>
                <w:lang w:val="it-IT"/>
              </w:rPr>
            </w:pPr>
          </w:p>
        </w:tc>
      </w:tr>
      <w:tr w:rsidR="000E579A" w:rsidRPr="00F20E0E" w14:paraId="3BE93C2E"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37CD03"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C0A38A"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4EA87F"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A2CEEC" w14:textId="77777777" w:rsidR="000E579A" w:rsidRPr="00F20E0E" w:rsidRDefault="000E579A" w:rsidP="00280A89">
            <w:pPr>
              <w:rPr>
                <w:lang w:val="it-IT"/>
              </w:rPr>
            </w:pPr>
          </w:p>
        </w:tc>
      </w:tr>
      <w:tr w:rsidR="000E579A" w:rsidRPr="00F20E0E" w14:paraId="7616E144" w14:textId="77777777" w:rsidTr="00280A89">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681B4" w14:textId="77777777" w:rsidR="000E579A" w:rsidRPr="00F20E0E" w:rsidRDefault="000E579A" w:rsidP="00280A89">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9AE427" w14:textId="77777777" w:rsidR="000E579A" w:rsidRPr="00F20E0E" w:rsidRDefault="000E579A" w:rsidP="00280A89">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2F9F7C" w14:textId="77777777" w:rsidR="000E579A" w:rsidRPr="00F20E0E" w:rsidRDefault="000E579A" w:rsidP="00280A89">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06206E" w14:textId="77777777" w:rsidR="000E579A" w:rsidRPr="00F20E0E" w:rsidRDefault="000E579A" w:rsidP="00280A89">
            <w:pPr>
              <w:rPr>
                <w:lang w:val="it-IT"/>
              </w:rPr>
            </w:pPr>
          </w:p>
        </w:tc>
      </w:tr>
    </w:tbl>
    <w:p w14:paraId="66CCEE94" w14:textId="77777777" w:rsidR="000E579A" w:rsidRPr="00F20E0E" w:rsidRDefault="000E579A" w:rsidP="000E579A">
      <w:pPr>
        <w:rPr>
          <w:b/>
          <w:sz w:val="28"/>
          <w:lang w:val="it-IT"/>
        </w:rPr>
      </w:pPr>
    </w:p>
    <w:p w14:paraId="5EE98DCA" w14:textId="77777777" w:rsidR="000E579A" w:rsidRPr="00F20E0E" w:rsidRDefault="000E579A" w:rsidP="000E579A">
      <w:pPr>
        <w:rPr>
          <w:lang w:val="it-IT"/>
        </w:rPr>
      </w:pPr>
    </w:p>
    <w:p w14:paraId="40F1590C" w14:textId="77777777" w:rsidR="000E579A" w:rsidRPr="00F20E0E" w:rsidRDefault="000E579A" w:rsidP="000E579A">
      <w:pPr>
        <w:rPr>
          <w:lang w:val="it-IT"/>
        </w:rPr>
      </w:pPr>
      <w:r w:rsidRPr="00F20E0E">
        <w:rPr>
          <w:b/>
          <w:sz w:val="28"/>
          <w:lang w:val="it-IT"/>
        </w:rPr>
        <w:t>Sommario</w:t>
      </w:r>
    </w:p>
    <w:p w14:paraId="60A870D0" w14:textId="77777777" w:rsidR="00916878" w:rsidRDefault="000E579A">
      <w:pPr>
        <w:pStyle w:val="TOC1"/>
        <w:rPr>
          <w:rFonts w:asciiTheme="minorHAnsi" w:eastAsiaTheme="minorEastAsia" w:hAnsiTheme="minorHAnsi" w:cstheme="minorBidi"/>
          <w:b w:val="0"/>
          <w:bCs w:val="0"/>
          <w:caps w:val="0"/>
          <w:noProof/>
          <w:sz w:val="22"/>
          <w:szCs w:val="22"/>
          <w:lang w:val="hr-HR" w:eastAsia="zh-CN"/>
        </w:rPr>
      </w:pPr>
      <w:r w:rsidRPr="00F20E0E">
        <w:rPr>
          <w:lang w:val="it-IT"/>
        </w:rPr>
        <w:fldChar w:fldCharType="begin"/>
      </w:r>
      <w:r w:rsidRPr="00F20E0E">
        <w:rPr>
          <w:lang w:val="it-IT"/>
        </w:rPr>
        <w:instrText>TOC \z \o "1-3" \u \h</w:instrText>
      </w:r>
      <w:r w:rsidRPr="00F20E0E">
        <w:rPr>
          <w:lang w:val="it-IT"/>
        </w:rPr>
        <w:fldChar w:fldCharType="separate"/>
      </w:r>
      <w:hyperlink w:anchor="_Toc499720644" w:history="1">
        <w:r w:rsidR="00916878" w:rsidRPr="00135DE5">
          <w:rPr>
            <w:rStyle w:val="Hyperlink"/>
            <w:noProof/>
            <w:lang w:val="it-IT"/>
          </w:rPr>
          <w:t>1.</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Campo d’applicazione, scopo e destinatari</w:t>
        </w:r>
        <w:r w:rsidR="00916878">
          <w:rPr>
            <w:noProof/>
            <w:webHidden/>
          </w:rPr>
          <w:tab/>
        </w:r>
        <w:r w:rsidR="00916878">
          <w:rPr>
            <w:noProof/>
            <w:webHidden/>
          </w:rPr>
          <w:fldChar w:fldCharType="begin"/>
        </w:r>
        <w:r w:rsidR="00916878">
          <w:rPr>
            <w:noProof/>
            <w:webHidden/>
          </w:rPr>
          <w:instrText xml:space="preserve"> PAGEREF _Toc499720644 \h </w:instrText>
        </w:r>
        <w:r w:rsidR="00916878">
          <w:rPr>
            <w:noProof/>
            <w:webHidden/>
          </w:rPr>
        </w:r>
        <w:r w:rsidR="00916878">
          <w:rPr>
            <w:noProof/>
            <w:webHidden/>
          </w:rPr>
          <w:fldChar w:fldCharType="separate"/>
        </w:r>
        <w:r w:rsidR="00916878">
          <w:rPr>
            <w:noProof/>
            <w:webHidden/>
          </w:rPr>
          <w:t>3</w:t>
        </w:r>
        <w:r w:rsidR="00916878">
          <w:rPr>
            <w:noProof/>
            <w:webHidden/>
          </w:rPr>
          <w:fldChar w:fldCharType="end"/>
        </w:r>
      </w:hyperlink>
    </w:p>
    <w:p w14:paraId="38FCBEB2"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45" w:history="1">
        <w:r w:rsidR="00916878" w:rsidRPr="00135DE5">
          <w:rPr>
            <w:rStyle w:val="Hyperlink"/>
            <w:noProof/>
            <w:lang w:val="it-IT"/>
          </w:rPr>
          <w:t>2.</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Presupposti / limitazioni</w:t>
        </w:r>
        <w:r w:rsidR="00916878">
          <w:rPr>
            <w:noProof/>
            <w:webHidden/>
          </w:rPr>
          <w:tab/>
        </w:r>
        <w:r w:rsidR="00916878">
          <w:rPr>
            <w:noProof/>
            <w:webHidden/>
          </w:rPr>
          <w:fldChar w:fldCharType="begin"/>
        </w:r>
        <w:r w:rsidR="00916878">
          <w:rPr>
            <w:noProof/>
            <w:webHidden/>
          </w:rPr>
          <w:instrText xml:space="preserve"> PAGEREF _Toc499720645 \h </w:instrText>
        </w:r>
        <w:r w:rsidR="00916878">
          <w:rPr>
            <w:noProof/>
            <w:webHidden/>
          </w:rPr>
        </w:r>
        <w:r w:rsidR="00916878">
          <w:rPr>
            <w:noProof/>
            <w:webHidden/>
          </w:rPr>
          <w:fldChar w:fldCharType="separate"/>
        </w:r>
        <w:r w:rsidR="00916878">
          <w:rPr>
            <w:noProof/>
            <w:webHidden/>
          </w:rPr>
          <w:t>3</w:t>
        </w:r>
        <w:r w:rsidR="00916878">
          <w:rPr>
            <w:noProof/>
            <w:webHidden/>
          </w:rPr>
          <w:fldChar w:fldCharType="end"/>
        </w:r>
      </w:hyperlink>
    </w:p>
    <w:p w14:paraId="532C720D"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46" w:history="1">
        <w:r w:rsidR="00916878" w:rsidRPr="00135DE5">
          <w:rPr>
            <w:rStyle w:val="Hyperlink"/>
            <w:noProof/>
            <w:lang w:val="it-IT"/>
          </w:rPr>
          <w:t>3.</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Informazioni di Carattere Generale</w:t>
        </w:r>
        <w:r w:rsidR="00916878">
          <w:rPr>
            <w:noProof/>
            <w:webHidden/>
          </w:rPr>
          <w:tab/>
        </w:r>
        <w:r w:rsidR="00916878">
          <w:rPr>
            <w:noProof/>
            <w:webHidden/>
          </w:rPr>
          <w:fldChar w:fldCharType="begin"/>
        </w:r>
        <w:r w:rsidR="00916878">
          <w:rPr>
            <w:noProof/>
            <w:webHidden/>
          </w:rPr>
          <w:instrText xml:space="preserve"> PAGEREF _Toc499720646 \h </w:instrText>
        </w:r>
        <w:r w:rsidR="00916878">
          <w:rPr>
            <w:noProof/>
            <w:webHidden/>
          </w:rPr>
        </w:r>
        <w:r w:rsidR="00916878">
          <w:rPr>
            <w:noProof/>
            <w:webHidden/>
          </w:rPr>
          <w:fldChar w:fldCharType="separate"/>
        </w:r>
        <w:r w:rsidR="00916878">
          <w:rPr>
            <w:noProof/>
            <w:webHidden/>
          </w:rPr>
          <w:t>3</w:t>
        </w:r>
        <w:r w:rsidR="00916878">
          <w:rPr>
            <w:noProof/>
            <w:webHidden/>
          </w:rPr>
          <w:fldChar w:fldCharType="end"/>
        </w:r>
      </w:hyperlink>
    </w:p>
    <w:p w14:paraId="6B20502F"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47" w:history="1">
        <w:r w:rsidR="00916878" w:rsidRPr="00135DE5">
          <w:rPr>
            <w:rStyle w:val="Hyperlink"/>
            <w:noProof/>
            <w:lang w:val="it-IT"/>
          </w:rPr>
          <w:t>4.</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Ruoli e informazioni di contatto</w:t>
        </w:r>
        <w:r w:rsidR="00916878">
          <w:rPr>
            <w:noProof/>
            <w:webHidden/>
          </w:rPr>
          <w:tab/>
        </w:r>
        <w:r w:rsidR="00916878">
          <w:rPr>
            <w:noProof/>
            <w:webHidden/>
          </w:rPr>
          <w:fldChar w:fldCharType="begin"/>
        </w:r>
        <w:r w:rsidR="00916878">
          <w:rPr>
            <w:noProof/>
            <w:webHidden/>
          </w:rPr>
          <w:instrText xml:space="preserve"> PAGEREF _Toc499720647 \h </w:instrText>
        </w:r>
        <w:r w:rsidR="00916878">
          <w:rPr>
            <w:noProof/>
            <w:webHidden/>
          </w:rPr>
        </w:r>
        <w:r w:rsidR="00916878">
          <w:rPr>
            <w:noProof/>
            <w:webHidden/>
          </w:rPr>
          <w:fldChar w:fldCharType="separate"/>
        </w:r>
        <w:r w:rsidR="00916878">
          <w:rPr>
            <w:noProof/>
            <w:webHidden/>
          </w:rPr>
          <w:t>4</w:t>
        </w:r>
        <w:r w:rsidR="00916878">
          <w:rPr>
            <w:noProof/>
            <w:webHidden/>
          </w:rPr>
          <w:fldChar w:fldCharType="end"/>
        </w:r>
      </w:hyperlink>
    </w:p>
    <w:p w14:paraId="51B117C1"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48" w:history="1">
        <w:r w:rsidR="00916878" w:rsidRPr="00135DE5">
          <w:rPr>
            <w:rStyle w:val="Hyperlink"/>
            <w:noProof/>
            <w:lang w:val="it-IT"/>
          </w:rPr>
          <w:t>5.</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Autorizzazioni in una crisi</w:t>
        </w:r>
        <w:r w:rsidR="00916878">
          <w:rPr>
            <w:noProof/>
            <w:webHidden/>
          </w:rPr>
          <w:tab/>
        </w:r>
        <w:r w:rsidR="00916878">
          <w:rPr>
            <w:noProof/>
            <w:webHidden/>
          </w:rPr>
          <w:fldChar w:fldCharType="begin"/>
        </w:r>
        <w:r w:rsidR="00916878">
          <w:rPr>
            <w:noProof/>
            <w:webHidden/>
          </w:rPr>
          <w:instrText xml:space="preserve"> PAGEREF _Toc499720648 \h </w:instrText>
        </w:r>
        <w:r w:rsidR="00916878">
          <w:rPr>
            <w:noProof/>
            <w:webHidden/>
          </w:rPr>
        </w:r>
        <w:r w:rsidR="00916878">
          <w:rPr>
            <w:noProof/>
            <w:webHidden/>
          </w:rPr>
          <w:fldChar w:fldCharType="separate"/>
        </w:r>
        <w:r w:rsidR="00916878">
          <w:rPr>
            <w:noProof/>
            <w:webHidden/>
          </w:rPr>
          <w:t>5</w:t>
        </w:r>
        <w:r w:rsidR="00916878">
          <w:rPr>
            <w:noProof/>
            <w:webHidden/>
          </w:rPr>
          <w:fldChar w:fldCharType="end"/>
        </w:r>
      </w:hyperlink>
    </w:p>
    <w:p w14:paraId="11E92A8C"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49" w:history="1">
        <w:r w:rsidR="00916878" w:rsidRPr="00135DE5">
          <w:rPr>
            <w:rStyle w:val="Hyperlink"/>
            <w:noProof/>
            <w:lang w:val="it-IT"/>
          </w:rPr>
          <w:t>6.</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Risorse necessarie</w:t>
        </w:r>
        <w:r w:rsidR="00916878">
          <w:rPr>
            <w:noProof/>
            <w:webHidden/>
          </w:rPr>
          <w:tab/>
        </w:r>
        <w:r w:rsidR="00916878">
          <w:rPr>
            <w:noProof/>
            <w:webHidden/>
          </w:rPr>
          <w:fldChar w:fldCharType="begin"/>
        </w:r>
        <w:r w:rsidR="00916878">
          <w:rPr>
            <w:noProof/>
            <w:webHidden/>
          </w:rPr>
          <w:instrText xml:space="preserve"> PAGEREF _Toc499720649 \h </w:instrText>
        </w:r>
        <w:r w:rsidR="00916878">
          <w:rPr>
            <w:noProof/>
            <w:webHidden/>
          </w:rPr>
        </w:r>
        <w:r w:rsidR="00916878">
          <w:rPr>
            <w:noProof/>
            <w:webHidden/>
          </w:rPr>
          <w:fldChar w:fldCharType="separate"/>
        </w:r>
        <w:r w:rsidR="00916878">
          <w:rPr>
            <w:noProof/>
            <w:webHidden/>
          </w:rPr>
          <w:t>5</w:t>
        </w:r>
        <w:r w:rsidR="00916878">
          <w:rPr>
            <w:noProof/>
            <w:webHidden/>
          </w:rPr>
          <w:fldChar w:fldCharType="end"/>
        </w:r>
      </w:hyperlink>
    </w:p>
    <w:p w14:paraId="3911F1C2"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50" w:history="1">
        <w:r w:rsidR="00916878" w:rsidRPr="00135DE5">
          <w:rPr>
            <w:rStyle w:val="Hyperlink"/>
            <w:noProof/>
            <w:lang w:val="it-IT"/>
          </w:rPr>
          <w:t>7.</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Fasi di ripristino delle infrastrutture /servizi IT</w:t>
        </w:r>
        <w:r w:rsidR="00916878">
          <w:rPr>
            <w:noProof/>
            <w:webHidden/>
          </w:rPr>
          <w:tab/>
        </w:r>
        <w:r w:rsidR="00916878">
          <w:rPr>
            <w:noProof/>
            <w:webHidden/>
          </w:rPr>
          <w:fldChar w:fldCharType="begin"/>
        </w:r>
        <w:r w:rsidR="00916878">
          <w:rPr>
            <w:noProof/>
            <w:webHidden/>
          </w:rPr>
          <w:instrText xml:space="preserve"> PAGEREF _Toc499720650 \h </w:instrText>
        </w:r>
        <w:r w:rsidR="00916878">
          <w:rPr>
            <w:noProof/>
            <w:webHidden/>
          </w:rPr>
        </w:r>
        <w:r w:rsidR="00916878">
          <w:rPr>
            <w:noProof/>
            <w:webHidden/>
          </w:rPr>
          <w:fldChar w:fldCharType="separate"/>
        </w:r>
        <w:r w:rsidR="00916878">
          <w:rPr>
            <w:noProof/>
            <w:webHidden/>
          </w:rPr>
          <w:t>6</w:t>
        </w:r>
        <w:r w:rsidR="00916878">
          <w:rPr>
            <w:noProof/>
            <w:webHidden/>
          </w:rPr>
          <w:fldChar w:fldCharType="end"/>
        </w:r>
      </w:hyperlink>
    </w:p>
    <w:p w14:paraId="00748276"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51" w:history="1">
        <w:r w:rsidR="00916878" w:rsidRPr="00135DE5">
          <w:rPr>
            <w:rStyle w:val="Hyperlink"/>
            <w:noProof/>
            <w:lang w:val="it-IT"/>
          </w:rPr>
          <w:t>8.</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Gestione delle registrazioni sulla base di questo documento</w:t>
        </w:r>
        <w:r w:rsidR="00916878">
          <w:rPr>
            <w:noProof/>
            <w:webHidden/>
          </w:rPr>
          <w:tab/>
        </w:r>
        <w:r w:rsidR="00916878">
          <w:rPr>
            <w:noProof/>
            <w:webHidden/>
          </w:rPr>
          <w:fldChar w:fldCharType="begin"/>
        </w:r>
        <w:r w:rsidR="00916878">
          <w:rPr>
            <w:noProof/>
            <w:webHidden/>
          </w:rPr>
          <w:instrText xml:space="preserve"> PAGEREF _Toc499720651 \h </w:instrText>
        </w:r>
        <w:r w:rsidR="00916878">
          <w:rPr>
            <w:noProof/>
            <w:webHidden/>
          </w:rPr>
        </w:r>
        <w:r w:rsidR="00916878">
          <w:rPr>
            <w:noProof/>
            <w:webHidden/>
          </w:rPr>
          <w:fldChar w:fldCharType="separate"/>
        </w:r>
        <w:r w:rsidR="00916878">
          <w:rPr>
            <w:noProof/>
            <w:webHidden/>
          </w:rPr>
          <w:t>6</w:t>
        </w:r>
        <w:r w:rsidR="00916878">
          <w:rPr>
            <w:noProof/>
            <w:webHidden/>
          </w:rPr>
          <w:fldChar w:fldCharType="end"/>
        </w:r>
      </w:hyperlink>
    </w:p>
    <w:p w14:paraId="10BD9A53"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52" w:history="1">
        <w:r w:rsidR="00916878" w:rsidRPr="00135DE5">
          <w:rPr>
            <w:rStyle w:val="Hyperlink"/>
            <w:noProof/>
            <w:lang w:val="it-IT"/>
          </w:rPr>
          <w:t>9.</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Validità e gestione del documento</w:t>
        </w:r>
        <w:r w:rsidR="00916878">
          <w:rPr>
            <w:noProof/>
            <w:webHidden/>
          </w:rPr>
          <w:tab/>
        </w:r>
        <w:r w:rsidR="00916878">
          <w:rPr>
            <w:noProof/>
            <w:webHidden/>
          </w:rPr>
          <w:fldChar w:fldCharType="begin"/>
        </w:r>
        <w:r w:rsidR="00916878">
          <w:rPr>
            <w:noProof/>
            <w:webHidden/>
          </w:rPr>
          <w:instrText xml:space="preserve"> PAGEREF _Toc499720652 \h </w:instrText>
        </w:r>
        <w:r w:rsidR="00916878">
          <w:rPr>
            <w:noProof/>
            <w:webHidden/>
          </w:rPr>
        </w:r>
        <w:r w:rsidR="00916878">
          <w:rPr>
            <w:noProof/>
            <w:webHidden/>
          </w:rPr>
          <w:fldChar w:fldCharType="separate"/>
        </w:r>
        <w:r w:rsidR="00916878">
          <w:rPr>
            <w:noProof/>
            <w:webHidden/>
          </w:rPr>
          <w:t>7</w:t>
        </w:r>
        <w:r w:rsidR="00916878">
          <w:rPr>
            <w:noProof/>
            <w:webHidden/>
          </w:rPr>
          <w:fldChar w:fldCharType="end"/>
        </w:r>
      </w:hyperlink>
    </w:p>
    <w:p w14:paraId="54D61122" w14:textId="77777777" w:rsidR="00916878" w:rsidRDefault="00207625">
      <w:pPr>
        <w:pStyle w:val="TOC1"/>
        <w:rPr>
          <w:rFonts w:asciiTheme="minorHAnsi" w:eastAsiaTheme="minorEastAsia" w:hAnsiTheme="minorHAnsi" w:cstheme="minorBidi"/>
          <w:b w:val="0"/>
          <w:bCs w:val="0"/>
          <w:caps w:val="0"/>
          <w:noProof/>
          <w:sz w:val="22"/>
          <w:szCs w:val="22"/>
          <w:lang w:val="hr-HR" w:eastAsia="zh-CN"/>
        </w:rPr>
      </w:pPr>
      <w:hyperlink w:anchor="_Toc499720653" w:history="1">
        <w:r w:rsidR="00916878" w:rsidRPr="00135DE5">
          <w:rPr>
            <w:rStyle w:val="Hyperlink"/>
            <w:noProof/>
            <w:lang w:val="it-IT"/>
          </w:rPr>
          <w:t>10.</w:t>
        </w:r>
        <w:r w:rsidR="00916878">
          <w:rPr>
            <w:rFonts w:asciiTheme="minorHAnsi" w:eastAsiaTheme="minorEastAsia" w:hAnsiTheme="minorHAnsi" w:cstheme="minorBidi"/>
            <w:b w:val="0"/>
            <w:bCs w:val="0"/>
            <w:caps w:val="0"/>
            <w:noProof/>
            <w:sz w:val="22"/>
            <w:szCs w:val="22"/>
            <w:lang w:val="hr-HR" w:eastAsia="zh-CN"/>
          </w:rPr>
          <w:tab/>
        </w:r>
        <w:r w:rsidR="00916878" w:rsidRPr="00135DE5">
          <w:rPr>
            <w:rStyle w:val="Hyperlink"/>
            <w:noProof/>
            <w:lang w:val="it-IT"/>
          </w:rPr>
          <w:t>Documenti aggiuntivi</w:t>
        </w:r>
        <w:r w:rsidR="00916878">
          <w:rPr>
            <w:noProof/>
            <w:webHidden/>
          </w:rPr>
          <w:tab/>
        </w:r>
        <w:r w:rsidR="00916878">
          <w:rPr>
            <w:noProof/>
            <w:webHidden/>
          </w:rPr>
          <w:fldChar w:fldCharType="begin"/>
        </w:r>
        <w:r w:rsidR="00916878">
          <w:rPr>
            <w:noProof/>
            <w:webHidden/>
          </w:rPr>
          <w:instrText xml:space="preserve"> PAGEREF _Toc499720653 \h </w:instrText>
        </w:r>
        <w:r w:rsidR="00916878">
          <w:rPr>
            <w:noProof/>
            <w:webHidden/>
          </w:rPr>
        </w:r>
        <w:r w:rsidR="00916878">
          <w:rPr>
            <w:noProof/>
            <w:webHidden/>
          </w:rPr>
          <w:fldChar w:fldCharType="separate"/>
        </w:r>
        <w:r w:rsidR="00916878">
          <w:rPr>
            <w:noProof/>
            <w:webHidden/>
          </w:rPr>
          <w:t>7</w:t>
        </w:r>
        <w:r w:rsidR="00916878">
          <w:rPr>
            <w:noProof/>
            <w:webHidden/>
          </w:rPr>
          <w:fldChar w:fldCharType="end"/>
        </w:r>
      </w:hyperlink>
    </w:p>
    <w:p w14:paraId="418C7D14" w14:textId="77777777" w:rsidR="000E579A" w:rsidRPr="00F20E0E" w:rsidRDefault="000E579A" w:rsidP="000E579A">
      <w:pPr>
        <w:rPr>
          <w:lang w:val="it-IT"/>
        </w:rPr>
      </w:pPr>
      <w:r w:rsidRPr="00F20E0E">
        <w:rPr>
          <w:lang w:val="it-IT"/>
        </w:rPr>
        <w:fldChar w:fldCharType="end"/>
      </w:r>
    </w:p>
    <w:p w14:paraId="45A749D2" w14:textId="77777777" w:rsidR="000E579A" w:rsidRPr="00F20E0E" w:rsidRDefault="000E579A" w:rsidP="00916878">
      <w:pPr>
        <w:pStyle w:val="TOC1"/>
        <w:rPr>
          <w:lang w:val="it-IT"/>
        </w:rPr>
      </w:pPr>
    </w:p>
    <w:p w14:paraId="3DC7EA29" w14:textId="77777777" w:rsidR="000E579A" w:rsidRPr="00F20E0E" w:rsidRDefault="000E579A" w:rsidP="000E579A">
      <w:pPr>
        <w:rPr>
          <w:b/>
          <w:sz w:val="28"/>
          <w:szCs w:val="28"/>
          <w:lang w:val="it-IT"/>
        </w:rPr>
      </w:pPr>
      <w:r w:rsidRPr="00F20E0E">
        <w:rPr>
          <w:lang w:val="it-IT"/>
        </w:rPr>
        <w:br w:type="page"/>
      </w:r>
    </w:p>
    <w:p w14:paraId="396EFDD0" w14:textId="77777777" w:rsidR="000E579A" w:rsidRPr="00F20E0E" w:rsidRDefault="000E579A" w:rsidP="000E579A">
      <w:pPr>
        <w:pStyle w:val="Heading1"/>
        <w:numPr>
          <w:ilvl w:val="0"/>
          <w:numId w:val="10"/>
        </w:numPr>
        <w:rPr>
          <w:lang w:val="it-IT"/>
        </w:rPr>
      </w:pPr>
      <w:bookmarkStart w:id="4" w:name="_Toc263191923"/>
      <w:bookmarkStart w:id="5" w:name="_Toc262723257"/>
      <w:bookmarkStart w:id="6" w:name="_Toc496533933"/>
      <w:bookmarkStart w:id="7" w:name="_Toc373196205"/>
      <w:bookmarkStart w:id="8" w:name="_Toc373344191"/>
      <w:bookmarkStart w:id="9" w:name="_Toc499720644"/>
      <w:bookmarkEnd w:id="4"/>
      <w:bookmarkEnd w:id="5"/>
      <w:r w:rsidRPr="00F20E0E">
        <w:rPr>
          <w:lang w:val="it-IT"/>
        </w:rPr>
        <w:lastRenderedPageBreak/>
        <w:t>Campo d’applicazione, scopo e destinatari</w:t>
      </w:r>
      <w:bookmarkEnd w:id="6"/>
      <w:bookmarkEnd w:id="7"/>
      <w:bookmarkEnd w:id="8"/>
      <w:bookmarkEnd w:id="9"/>
    </w:p>
    <w:p w14:paraId="720BE302" w14:textId="77777777" w:rsidR="000E579A" w:rsidRPr="00F20E0E" w:rsidRDefault="000E579A" w:rsidP="000E579A">
      <w:pPr>
        <w:rPr>
          <w:lang w:val="it-IT"/>
        </w:rPr>
      </w:pPr>
      <w:r w:rsidRPr="00F20E0E">
        <w:rPr>
          <w:lang w:val="it-IT"/>
        </w:rPr>
        <w:t>Scopo del Piano di Disaster Recovery è quello di definire esattamente in che modo [nome dell’azienda] recupererà la sua infrastruttura IT, i servizi IT e tutti i dati (compresi i dati personali) entro scadenze fisse in caso di disastro o altro incidente. L'obiettivo di questo piano è quello di completare il ripristino dell'infrastruttura IT, dei servizi IT e dei dati all'interno dell'Obiettivo di Recupero del Tempo (Recovery Time Objective) impostato.</w:t>
      </w:r>
    </w:p>
    <w:p w14:paraId="4D10CABF" w14:textId="77777777" w:rsidR="000E579A" w:rsidRPr="00F20E0E" w:rsidRDefault="000E579A" w:rsidP="000E579A">
      <w:pPr>
        <w:rPr>
          <w:lang w:val="it-IT"/>
        </w:rPr>
      </w:pPr>
      <w:r w:rsidRPr="00F20E0E">
        <w:rPr>
          <w:lang w:val="it-IT"/>
        </w:rPr>
        <w:t>Destinatari di questo documento sono i membri dell’alta direzione e i dipendenti necessari per il ripristino di questa attività.</w:t>
      </w:r>
    </w:p>
    <w:p w14:paraId="183EE784" w14:textId="77777777" w:rsidR="000E579A" w:rsidRPr="00F20E0E" w:rsidRDefault="000E579A" w:rsidP="000E579A">
      <w:pPr>
        <w:rPr>
          <w:lang w:val="it-IT"/>
        </w:rPr>
      </w:pPr>
    </w:p>
    <w:p w14:paraId="40447C88" w14:textId="77777777" w:rsidR="000E579A" w:rsidRPr="00F20E0E" w:rsidRDefault="000E579A" w:rsidP="000E579A">
      <w:pPr>
        <w:pStyle w:val="Heading1"/>
        <w:numPr>
          <w:ilvl w:val="0"/>
          <w:numId w:val="10"/>
        </w:numPr>
        <w:rPr>
          <w:lang w:val="it-IT"/>
        </w:rPr>
      </w:pPr>
      <w:bookmarkStart w:id="10" w:name="_Toc499720645"/>
      <w:r w:rsidRPr="00F20E0E">
        <w:rPr>
          <w:lang w:val="it-IT"/>
        </w:rPr>
        <w:t>Presupposti / limitazioni</w:t>
      </w:r>
      <w:bookmarkEnd w:id="10"/>
      <w:r w:rsidRPr="00F20E0E">
        <w:rPr>
          <w:lang w:val="it-IT"/>
        </w:rPr>
        <w:t xml:space="preserve"> </w:t>
      </w:r>
    </w:p>
    <w:p w14:paraId="1E6A557C" w14:textId="77777777" w:rsidR="000E579A" w:rsidRPr="00F20E0E" w:rsidRDefault="000E579A" w:rsidP="000E579A">
      <w:pPr>
        <w:rPr>
          <w:lang w:val="it-IT"/>
        </w:rPr>
      </w:pPr>
      <w:r w:rsidRPr="00F20E0E">
        <w:rPr>
          <w:lang w:val="it-IT"/>
        </w:rPr>
        <w:t xml:space="preserve">Affinché questo piano funzioni, devono essere </w:t>
      </w:r>
      <w:commentRangeStart w:id="11"/>
      <w:r w:rsidRPr="00F20E0E">
        <w:rPr>
          <w:lang w:val="it-IT"/>
        </w:rPr>
        <w:t>soddisfatte</w:t>
      </w:r>
      <w:commentRangeEnd w:id="11"/>
      <w:r w:rsidRPr="00F20E0E">
        <w:rPr>
          <w:rStyle w:val="CommentReference"/>
          <w:lang w:val="it-IT"/>
        </w:rPr>
        <w:commentReference w:id="11"/>
      </w:r>
      <w:r w:rsidRPr="00F20E0E">
        <w:rPr>
          <w:lang w:val="it-IT"/>
        </w:rPr>
        <w:t xml:space="preserve"> le seguenti condizioni:</w:t>
      </w:r>
    </w:p>
    <w:p w14:paraId="705E34FC" w14:textId="77777777" w:rsidR="000E579A" w:rsidRPr="00F20E0E" w:rsidRDefault="000E579A" w:rsidP="000E579A">
      <w:pPr>
        <w:pStyle w:val="ListParagraph"/>
        <w:numPr>
          <w:ilvl w:val="0"/>
          <w:numId w:val="13"/>
        </w:numPr>
        <w:rPr>
          <w:lang w:val="it-IT"/>
        </w:rPr>
      </w:pPr>
      <w:r w:rsidRPr="00F20E0E">
        <w:rPr>
          <w:lang w:val="it-IT"/>
        </w:rPr>
        <w:t>Tutte le attrezzature, i software e i dati sono disponibili come previsto in [</w:t>
      </w:r>
      <w:commentRangeStart w:id="12"/>
      <w:r w:rsidRPr="00F20E0E">
        <w:rPr>
          <w:lang w:val="it-IT"/>
        </w:rPr>
        <w:t>documento</w:t>
      </w:r>
      <w:commentRangeEnd w:id="12"/>
      <w:r w:rsidRPr="00F20E0E">
        <w:rPr>
          <w:rStyle w:val="CommentReference"/>
          <w:lang w:val="it-IT"/>
        </w:rPr>
        <w:commentReference w:id="12"/>
      </w:r>
      <w:r w:rsidRPr="00F20E0E">
        <w:rPr>
          <w:lang w:val="it-IT"/>
        </w:rPr>
        <w:t>]</w:t>
      </w:r>
    </w:p>
    <w:p w14:paraId="69239790" w14:textId="77777777" w:rsidR="000E579A" w:rsidRPr="00F20E0E" w:rsidRDefault="000E579A" w:rsidP="000E579A">
      <w:pPr>
        <w:pStyle w:val="ListParagraph"/>
        <w:numPr>
          <w:ilvl w:val="0"/>
          <w:numId w:val="13"/>
        </w:numPr>
        <w:rPr>
          <w:lang w:val="it-IT"/>
        </w:rPr>
      </w:pPr>
      <w:r w:rsidRPr="00F20E0E">
        <w:rPr>
          <w:lang w:val="it-IT"/>
        </w:rPr>
        <w:t>Al momento di un incidente, i dipendenti del dipartimento di IT sono stati trasferiti sul sito alternativo: questo è il punto di partenza per questo piano di disaster recovery</w:t>
      </w:r>
    </w:p>
    <w:p w14:paraId="157A5E6F" w14:textId="77777777" w:rsidR="000E579A" w:rsidRPr="00F20E0E" w:rsidRDefault="000E579A" w:rsidP="000E579A">
      <w:pPr>
        <w:rPr>
          <w:lang w:val="it-IT"/>
        </w:rPr>
      </w:pPr>
      <w:r w:rsidRPr="00F20E0E">
        <w:rPr>
          <w:lang w:val="it-IT"/>
        </w:rPr>
        <w:t>Questo piano non copre i seguenti tipi di incidenti:</w:t>
      </w:r>
    </w:p>
    <w:p w14:paraId="12858A1D" w14:textId="77777777" w:rsidR="000E579A" w:rsidRPr="00F20E0E" w:rsidRDefault="000E579A" w:rsidP="000E579A">
      <w:pPr>
        <w:pStyle w:val="ListParagraph"/>
        <w:numPr>
          <w:ilvl w:val="0"/>
          <w:numId w:val="14"/>
        </w:numPr>
        <w:rPr>
          <w:lang w:val="it-IT"/>
        </w:rPr>
      </w:pPr>
      <w:r w:rsidRPr="00F20E0E">
        <w:rPr>
          <w:lang w:val="it-IT"/>
        </w:rPr>
        <w:t xml:space="preserve"> </w:t>
      </w:r>
      <w:commentRangeStart w:id="13"/>
      <w:r w:rsidRPr="00F20E0E">
        <w:rPr>
          <w:lang w:val="it-IT"/>
        </w:rPr>
        <w:t>*</w:t>
      </w:r>
      <w:commentRangeEnd w:id="13"/>
      <w:r w:rsidRPr="00F20E0E">
        <w:rPr>
          <w:rStyle w:val="CommentReference"/>
          <w:lang w:val="it-IT"/>
        </w:rPr>
        <w:commentReference w:id="13"/>
      </w:r>
    </w:p>
    <w:p w14:paraId="28104072" w14:textId="77777777" w:rsidR="000E579A" w:rsidRPr="00F20E0E" w:rsidRDefault="000E579A" w:rsidP="000E579A">
      <w:pPr>
        <w:rPr>
          <w:lang w:val="it-IT"/>
        </w:rPr>
      </w:pPr>
    </w:p>
    <w:p w14:paraId="12851AF3" w14:textId="77777777" w:rsidR="000E579A" w:rsidRPr="00F20E0E" w:rsidRDefault="000E579A" w:rsidP="000E579A">
      <w:pPr>
        <w:pStyle w:val="Heading1"/>
        <w:numPr>
          <w:ilvl w:val="0"/>
          <w:numId w:val="10"/>
        </w:numPr>
        <w:rPr>
          <w:lang w:val="it-IT"/>
        </w:rPr>
      </w:pPr>
      <w:bookmarkStart w:id="14" w:name="_Toc499720646"/>
      <w:r w:rsidRPr="00F20E0E">
        <w:rPr>
          <w:lang w:val="it-IT"/>
        </w:rPr>
        <w:t>Informazion</w:t>
      </w:r>
      <w:bookmarkStart w:id="15" w:name="_Toc263191924"/>
      <w:r w:rsidRPr="00F20E0E">
        <w:rPr>
          <w:lang w:val="it-IT"/>
        </w:rPr>
        <w:t>i di Carattere General</w:t>
      </w:r>
      <w:bookmarkEnd w:id="15"/>
      <w:r w:rsidRPr="00F20E0E">
        <w:rPr>
          <w:lang w:val="it-IT"/>
        </w:rPr>
        <w:t>e</w:t>
      </w:r>
      <w:bookmarkEnd w:id="14"/>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517"/>
        <w:gridCol w:w="6771"/>
      </w:tblGrid>
      <w:tr w:rsidR="000E579A" w:rsidRPr="00F20E0E" w14:paraId="407C08EC"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1767A556" w14:textId="77777777" w:rsidR="000E579A" w:rsidRPr="00F20E0E" w:rsidRDefault="000E579A" w:rsidP="00280A89">
            <w:pPr>
              <w:rPr>
                <w:lang w:val="it-IT"/>
              </w:rPr>
            </w:pPr>
            <w:commentRangeStart w:id="16"/>
            <w:r w:rsidRPr="00F20E0E">
              <w:rPr>
                <w:lang w:val="it-IT"/>
              </w:rPr>
              <w:t>Ubicazione</w:t>
            </w:r>
            <w:commentRangeEnd w:id="16"/>
            <w:r w:rsidRPr="00F20E0E">
              <w:rPr>
                <w:rStyle w:val="CommentReference"/>
                <w:lang w:val="it-IT"/>
              </w:rPr>
              <w:commentReference w:id="16"/>
            </w:r>
            <w:r w:rsidRPr="00F20E0E">
              <w:rPr>
                <w:lang w:val="it-IT"/>
              </w:rPr>
              <w:t xml:space="preserve"> del sito alternativo / </w:t>
            </w:r>
            <w:commentRangeStart w:id="17"/>
            <w:r w:rsidRPr="00F20E0E">
              <w:rPr>
                <w:lang w:val="it-IT"/>
              </w:rPr>
              <w:t>strategia di recupero</w:t>
            </w:r>
            <w:commentRangeEnd w:id="17"/>
            <w:r w:rsidRPr="00F20E0E">
              <w:rPr>
                <w:rStyle w:val="CommentReference"/>
                <w:lang w:val="it-IT"/>
              </w:rPr>
              <w:commentReference w:id="17"/>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3E8B89" w14:textId="77777777" w:rsidR="000E579A" w:rsidRPr="00F20E0E" w:rsidRDefault="000E579A" w:rsidP="00280A89">
            <w:pPr>
              <w:rPr>
                <w:lang w:val="it-IT"/>
              </w:rPr>
            </w:pPr>
            <w:r w:rsidRPr="00F20E0E">
              <w:rPr>
                <w:lang w:val="it-IT"/>
              </w:rPr>
              <w:t xml:space="preserve"> </w:t>
            </w:r>
          </w:p>
        </w:tc>
      </w:tr>
      <w:tr w:rsidR="000E579A" w:rsidRPr="00F20E0E" w14:paraId="2D4D75A1"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716F0CD7" w14:textId="77777777" w:rsidR="000E579A" w:rsidRPr="00F20E0E" w:rsidRDefault="000E579A" w:rsidP="00280A89">
            <w:pPr>
              <w:rPr>
                <w:lang w:val="it-IT"/>
              </w:rPr>
            </w:pPr>
            <w:r w:rsidRPr="00F20E0E">
              <w:rPr>
                <w:lang w:val="it-IT"/>
              </w:rPr>
              <w:t>Obiettivo di Recupero del Tempo:</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4C7C68" w14:textId="77777777" w:rsidR="000E579A" w:rsidRPr="00F20E0E" w:rsidRDefault="000E579A" w:rsidP="00280A89">
            <w:pPr>
              <w:rPr>
                <w:lang w:val="it-IT"/>
              </w:rPr>
            </w:pPr>
            <w:r w:rsidRPr="00F20E0E">
              <w:rPr>
                <w:lang w:val="it-IT"/>
              </w:rPr>
              <w:t xml:space="preserve"> </w:t>
            </w:r>
            <w:commentRangeStart w:id="18"/>
            <w:r w:rsidRPr="00F20E0E">
              <w:rPr>
                <w:lang w:val="it-IT"/>
              </w:rPr>
              <w:t>*</w:t>
            </w:r>
            <w:commentRangeEnd w:id="18"/>
            <w:r w:rsidRPr="00F20E0E">
              <w:rPr>
                <w:rStyle w:val="CommentReference"/>
                <w:lang w:val="it-IT"/>
              </w:rPr>
              <w:commentReference w:id="18"/>
            </w:r>
          </w:p>
        </w:tc>
      </w:tr>
      <w:tr w:rsidR="000E579A" w:rsidRPr="00F20E0E" w14:paraId="1178CD7D"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0FA65EC8" w14:textId="77777777" w:rsidR="000E579A" w:rsidRPr="00F20E0E" w:rsidRDefault="000E579A" w:rsidP="00280A89">
            <w:pPr>
              <w:rPr>
                <w:lang w:val="it-IT"/>
              </w:rPr>
            </w:pPr>
            <w:r w:rsidRPr="00F20E0E">
              <w:rPr>
                <w:lang w:val="it-IT"/>
              </w:rPr>
              <w:t>Persona responsabile dell’attivazione del Piano di Disaster Recovery / mezzi di attivazione:</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8EE875" w14:textId="77777777" w:rsidR="000E579A" w:rsidRPr="00F20E0E" w:rsidRDefault="000E579A" w:rsidP="00280A89">
            <w:pPr>
              <w:rPr>
                <w:lang w:val="it-IT"/>
              </w:rPr>
            </w:pPr>
            <w:r w:rsidRPr="00F20E0E">
              <w:rPr>
                <w:lang w:val="it-IT"/>
              </w:rPr>
              <w:t>[</w:t>
            </w:r>
            <w:commentRangeStart w:id="19"/>
            <w:r w:rsidRPr="00F20E0E">
              <w:rPr>
                <w:lang w:val="it-IT"/>
              </w:rPr>
              <w:t>funzione</w:t>
            </w:r>
            <w:commentRangeEnd w:id="19"/>
            <w:r w:rsidRPr="00F20E0E">
              <w:rPr>
                <w:rStyle w:val="CommentReference"/>
                <w:lang w:val="it-IT"/>
              </w:rPr>
              <w:commentReference w:id="19"/>
            </w:r>
            <w:r w:rsidRPr="00F20E0E">
              <w:rPr>
                <w:lang w:val="it-IT"/>
              </w:rPr>
              <w:t>] / a voce o per iscritto</w:t>
            </w:r>
          </w:p>
        </w:tc>
      </w:tr>
      <w:tr w:rsidR="000E579A" w:rsidRPr="00F20E0E" w14:paraId="03F43E6C"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626FE6FC" w14:textId="77777777" w:rsidR="000E579A" w:rsidRPr="00F20E0E" w:rsidRDefault="000E579A" w:rsidP="00280A89">
            <w:pPr>
              <w:rPr>
                <w:lang w:val="it-IT"/>
              </w:rPr>
            </w:pPr>
            <w:r w:rsidRPr="00F20E0E">
              <w:rPr>
                <w:lang w:val="it-IT"/>
              </w:rPr>
              <w:t>Persone da informare dell’attivazione del piano / chi è responsabile:</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FD42AF" w14:textId="77777777" w:rsidR="000E579A" w:rsidRPr="00F20E0E" w:rsidRDefault="000E579A" w:rsidP="00280A89">
            <w:pPr>
              <w:rPr>
                <w:lang w:val="it-IT"/>
              </w:rPr>
            </w:pPr>
            <w:r w:rsidRPr="00F20E0E">
              <w:rPr>
                <w:lang w:val="it-IT"/>
              </w:rPr>
              <w:t>[</w:t>
            </w:r>
            <w:commentRangeStart w:id="20"/>
            <w:r w:rsidRPr="00F20E0E">
              <w:rPr>
                <w:lang w:val="it-IT"/>
              </w:rPr>
              <w:t>elenca tutte le funzioni che devono essere informate</w:t>
            </w:r>
            <w:commentRangeEnd w:id="20"/>
            <w:r w:rsidRPr="00F20E0E">
              <w:rPr>
                <w:rStyle w:val="CommentReference"/>
                <w:lang w:val="it-IT"/>
              </w:rPr>
              <w:commentReference w:id="20"/>
            </w:r>
            <w:r w:rsidRPr="00F20E0E">
              <w:rPr>
                <w:lang w:val="it-IT"/>
              </w:rPr>
              <w:t>]; responsabile [</w:t>
            </w:r>
            <w:commentRangeStart w:id="21"/>
            <w:r w:rsidRPr="00F20E0E">
              <w:rPr>
                <w:lang w:val="it-IT"/>
              </w:rPr>
              <w:t>funzione</w:t>
            </w:r>
            <w:commentRangeEnd w:id="21"/>
            <w:r w:rsidRPr="00F20E0E">
              <w:rPr>
                <w:rStyle w:val="CommentReference"/>
                <w:lang w:val="it-IT"/>
              </w:rPr>
              <w:commentReference w:id="21"/>
            </w:r>
            <w:r w:rsidRPr="00F20E0E">
              <w:rPr>
                <w:lang w:val="it-IT"/>
              </w:rPr>
              <w:t>]</w:t>
            </w:r>
          </w:p>
        </w:tc>
      </w:tr>
      <w:tr w:rsidR="000E579A" w:rsidRPr="00F20E0E" w14:paraId="76059D2B"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C0B58AD" w14:textId="77777777" w:rsidR="000E579A" w:rsidRPr="00F20E0E" w:rsidRDefault="000E579A" w:rsidP="00280A89">
            <w:pPr>
              <w:rPr>
                <w:lang w:val="it-IT"/>
              </w:rPr>
            </w:pPr>
            <w:r w:rsidRPr="00F20E0E">
              <w:rPr>
                <w:lang w:val="it-IT"/>
              </w:rPr>
              <w:t xml:space="preserve">Persona responsabile della disattivazione del piano di recupero di emergenza / dei mezzi di </w:t>
            </w:r>
            <w:r w:rsidRPr="00F20E0E">
              <w:rPr>
                <w:lang w:val="it-IT"/>
              </w:rPr>
              <w:lastRenderedPageBreak/>
              <w:t>disattivazione / criteri:</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5BB76" w14:textId="77777777" w:rsidR="000E579A" w:rsidRPr="00F20E0E" w:rsidRDefault="000E579A" w:rsidP="00280A89">
            <w:pPr>
              <w:rPr>
                <w:lang w:val="it-IT"/>
              </w:rPr>
            </w:pPr>
            <w:r w:rsidRPr="00F20E0E">
              <w:rPr>
                <w:lang w:val="it-IT"/>
              </w:rPr>
              <w:lastRenderedPageBreak/>
              <w:t>[</w:t>
            </w:r>
            <w:commentRangeStart w:id="22"/>
            <w:r w:rsidRPr="00F20E0E">
              <w:rPr>
                <w:lang w:val="it-IT"/>
              </w:rPr>
              <w:t>funzione</w:t>
            </w:r>
            <w:commentRangeEnd w:id="22"/>
            <w:r w:rsidRPr="00F20E0E">
              <w:rPr>
                <w:rStyle w:val="CommentReference"/>
                <w:lang w:val="it-IT"/>
              </w:rPr>
              <w:commentReference w:id="22"/>
            </w:r>
            <w:r w:rsidRPr="00F20E0E">
              <w:rPr>
                <w:lang w:val="it-IT"/>
              </w:rPr>
              <w:t>] / [a voce o per iscritto] / [</w:t>
            </w:r>
            <w:commentRangeStart w:id="23"/>
            <w:r w:rsidRPr="00F20E0E">
              <w:rPr>
                <w:lang w:val="it-IT"/>
              </w:rPr>
              <w:t>descrizione del criterio</w:t>
            </w:r>
            <w:commentRangeEnd w:id="23"/>
            <w:r w:rsidRPr="00F20E0E">
              <w:rPr>
                <w:rStyle w:val="CommentReference"/>
                <w:lang w:val="it-IT"/>
              </w:rPr>
              <w:commentReference w:id="23"/>
            </w:r>
            <w:r w:rsidRPr="00F20E0E">
              <w:rPr>
                <w:lang w:val="it-IT"/>
              </w:rPr>
              <w:t xml:space="preserve">] </w:t>
            </w:r>
          </w:p>
        </w:tc>
      </w:tr>
      <w:tr w:rsidR="000E579A" w:rsidRPr="00F20E0E" w14:paraId="010F5F44"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06B6BC3" w14:textId="77777777" w:rsidR="000E579A" w:rsidRPr="00F20E0E" w:rsidRDefault="000E579A" w:rsidP="00280A89">
            <w:pPr>
              <w:rPr>
                <w:lang w:val="it-IT"/>
              </w:rPr>
            </w:pPr>
            <w:r w:rsidRPr="00F20E0E">
              <w:rPr>
                <w:lang w:val="it-IT"/>
              </w:rPr>
              <w:lastRenderedPageBreak/>
              <w:t>Principali mansioni / obblighi / SLA che devono essere soddisfatti e rispettive scadenze:</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11FC78" w14:textId="77777777" w:rsidR="000E579A" w:rsidRPr="00F20E0E" w:rsidRDefault="000E579A" w:rsidP="00280A89">
            <w:pPr>
              <w:rPr>
                <w:lang w:val="it-IT"/>
              </w:rPr>
            </w:pPr>
            <w:commentRangeStart w:id="24"/>
            <w:r w:rsidRPr="00F20E0E">
              <w:rPr>
                <w:lang w:val="it-IT"/>
              </w:rPr>
              <w:t xml:space="preserve"> </w:t>
            </w:r>
            <w:commentRangeEnd w:id="24"/>
            <w:r w:rsidRPr="00F20E0E">
              <w:rPr>
                <w:lang w:val="it-IT"/>
              </w:rPr>
              <w:commentReference w:id="24"/>
            </w:r>
          </w:p>
        </w:tc>
      </w:tr>
      <w:tr w:rsidR="000E579A" w:rsidRPr="00F20E0E" w14:paraId="0270D05B"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5C654BF" w14:textId="77777777" w:rsidR="000E579A" w:rsidRPr="00F20E0E" w:rsidRDefault="000E579A" w:rsidP="00280A89">
            <w:pPr>
              <w:rPr>
                <w:lang w:val="it-IT"/>
              </w:rPr>
            </w:pPr>
            <w:r w:rsidRPr="00F20E0E">
              <w:rPr>
                <w:lang w:val="it-IT"/>
              </w:rPr>
              <w:t>Capacità minima richiesta immediatamente dopo il disastro:</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AE0132" w14:textId="77777777" w:rsidR="000E579A" w:rsidRPr="00F20E0E" w:rsidRDefault="000E579A" w:rsidP="00280A89">
            <w:pPr>
              <w:rPr>
                <w:lang w:val="it-IT"/>
              </w:rPr>
            </w:pPr>
          </w:p>
        </w:tc>
      </w:tr>
      <w:tr w:rsidR="000E579A" w:rsidRPr="00F20E0E" w14:paraId="5F6AFDA1" w14:textId="77777777" w:rsidTr="00280A89">
        <w:tc>
          <w:tcPr>
            <w:tcW w:w="2517"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3CF5E9D5" w14:textId="77777777" w:rsidR="000E579A" w:rsidRPr="00F20E0E" w:rsidRDefault="000E579A" w:rsidP="00280A89">
            <w:pPr>
              <w:rPr>
                <w:lang w:val="it-IT"/>
              </w:rPr>
            </w:pPr>
            <w:r w:rsidRPr="00F20E0E">
              <w:rPr>
                <w:lang w:val="it-IT"/>
              </w:rPr>
              <w:t>Periodo dopo il quale deve essere ripristinato il normale livello operativo:</w:t>
            </w:r>
          </w:p>
        </w:tc>
        <w:tc>
          <w:tcPr>
            <w:tcW w:w="67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861C1" w14:textId="77777777" w:rsidR="000E579A" w:rsidRPr="00F20E0E" w:rsidRDefault="000E579A" w:rsidP="00280A89">
            <w:pPr>
              <w:rPr>
                <w:lang w:val="it-IT"/>
              </w:rPr>
            </w:pPr>
          </w:p>
        </w:tc>
      </w:tr>
    </w:tbl>
    <w:p w14:paraId="7640183F" w14:textId="0FA04896" w:rsidR="00624795" w:rsidRDefault="00624795" w:rsidP="007F69F9"/>
    <w:p w14:paraId="6E9016BB" w14:textId="77777777" w:rsidR="007F69F9" w:rsidRDefault="007F69F9" w:rsidP="007F69F9"/>
    <w:p w14:paraId="1F2DE9BB" w14:textId="77777777" w:rsidR="007F69F9" w:rsidRPr="007F69F9" w:rsidRDefault="007F69F9" w:rsidP="007F69F9">
      <w:pPr>
        <w:spacing w:after="0"/>
        <w:jc w:val="center"/>
        <w:rPr>
          <w:rFonts w:eastAsia="Times New Roman"/>
          <w:lang w:val="it-IT"/>
        </w:rPr>
      </w:pPr>
      <w:r w:rsidRPr="007F69F9">
        <w:rPr>
          <w:rFonts w:eastAsia="Times New Roman"/>
          <w:lang w:val="it-IT"/>
        </w:rPr>
        <w:t>** FINE DELL’ANTEPRIMA GRATUITA **</w:t>
      </w:r>
    </w:p>
    <w:p w14:paraId="3F6C7DE1" w14:textId="77777777" w:rsidR="007F69F9" w:rsidRPr="007F69F9" w:rsidRDefault="007F69F9" w:rsidP="007F69F9">
      <w:pPr>
        <w:spacing w:after="0"/>
        <w:jc w:val="center"/>
        <w:rPr>
          <w:rFonts w:eastAsia="Times New Roman"/>
          <w:lang w:val="it-IT"/>
        </w:rPr>
      </w:pPr>
    </w:p>
    <w:p w14:paraId="28C4E890" w14:textId="1E87A842" w:rsidR="007F69F9" w:rsidRPr="000E579A" w:rsidRDefault="007F69F9" w:rsidP="007F69F9">
      <w:pPr>
        <w:jc w:val="center"/>
      </w:pPr>
      <w:r w:rsidRPr="007F69F9">
        <w:rPr>
          <w:rFonts w:eastAsia="Times New Roman"/>
          <w:lang w:val="it-IT"/>
        </w:rPr>
        <w:t>Per scaricare la versione completa di questo documento, clicca qui:</w:t>
      </w:r>
      <w:r w:rsidRPr="007F69F9">
        <w:rPr>
          <w:rFonts w:eastAsia="Times New Roman"/>
          <w:lang w:val="it-IT"/>
        </w:rPr>
        <w:br/>
      </w:r>
      <w:hyperlink r:id="rId10" w:history="1">
        <w:r w:rsidRPr="00C66B91">
          <w:rPr>
            <w:rStyle w:val="Hyperlink"/>
            <w:rFonts w:cstheme="minorHAnsi"/>
            <w:lang w:val="it-IT"/>
          </w:rPr>
          <w:t>https://advisera.com/eugdpracademy/it/documentation/piano-di-disaster-recovery/</w:t>
        </w:r>
      </w:hyperlink>
      <w:r>
        <w:rPr>
          <w:rFonts w:cstheme="minorHAnsi"/>
          <w:lang w:val="it-IT"/>
        </w:rPr>
        <w:t xml:space="preserve"> </w:t>
      </w:r>
      <w:bookmarkStart w:id="25" w:name="_GoBack"/>
      <w:bookmarkEnd w:id="25"/>
    </w:p>
    <w:sectPr w:rsidR="007F69F9" w:rsidRPr="000E579A">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6T21:04:00Z" w:initials="EUGDPR">
    <w:p w14:paraId="679AC471" w14:textId="77777777" w:rsidR="000E579A" w:rsidRPr="00DC115B" w:rsidRDefault="000E579A" w:rsidP="000E579A">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6T19:40:00Z" w:initials="GDPR">
    <w:p w14:paraId="376F0A9B" w14:textId="77777777" w:rsidR="000E579A" w:rsidRPr="00916878" w:rsidRDefault="000E579A" w:rsidP="000E579A">
      <w:pPr>
        <w:rPr>
          <w:rFonts w:eastAsia="DejaVu Sans" w:cs="Calibri"/>
          <w:sz w:val="20"/>
          <w:szCs w:val="20"/>
          <w:lang w:val="it-IT" w:bidi="en-US"/>
        </w:rPr>
      </w:pPr>
      <w:r w:rsidRPr="00916878">
        <w:rPr>
          <w:rFonts w:eastAsia="DejaVu Sans" w:cs="Calibri"/>
          <w:sz w:val="20"/>
          <w:szCs w:val="20"/>
          <w:lang w:val="it-IT" w:bidi="en-US"/>
        </w:rPr>
        <w:t>Questo piano è destinato alle organizzazioni in cui il ripristino dell'infrastruttura IT e dei servizi IT può essere integrato in un unico piano.</w:t>
      </w:r>
    </w:p>
    <w:p w14:paraId="39F6A7D6" w14:textId="77777777" w:rsidR="000E579A" w:rsidRPr="00916878" w:rsidRDefault="000E579A" w:rsidP="000E579A">
      <w:pPr>
        <w:rPr>
          <w:rFonts w:eastAsia="DejaVu Sans" w:cs="Calibri"/>
          <w:sz w:val="20"/>
          <w:szCs w:val="20"/>
          <w:lang w:val="it-IT" w:bidi="en-US"/>
        </w:rPr>
      </w:pPr>
    </w:p>
    <w:p w14:paraId="46919A2D" w14:textId="77777777" w:rsidR="000E579A" w:rsidRPr="00916878" w:rsidRDefault="000E579A" w:rsidP="000E579A">
      <w:pPr>
        <w:rPr>
          <w:rFonts w:cs="Calibri"/>
          <w:sz w:val="20"/>
          <w:szCs w:val="20"/>
          <w:lang w:val="it-IT"/>
        </w:rPr>
      </w:pPr>
      <w:r w:rsidRPr="00916878">
        <w:rPr>
          <w:rFonts w:eastAsia="DejaVu Sans" w:cs="Calibri"/>
          <w:sz w:val="20"/>
          <w:szCs w:val="20"/>
          <w:lang w:val="it-IT" w:bidi="en-US"/>
        </w:rPr>
        <w:t>Per le organizzazioni con un'infrastruttura IT complessa o con diverse Recovery Time Objective (RTO) per diversi sistemi IT, potrebbe essere preferibile sviluppare piani di disaster recovery separati per diversi sistemi.</w:t>
      </w:r>
    </w:p>
  </w:comment>
  <w:comment w:id="2" w:author="EUGDPRAcademy" w:date="2017-11-26T19:37:00Z" w:initials="EUGDPR">
    <w:p w14:paraId="5AD49D97" w14:textId="77777777" w:rsidR="000E579A" w:rsidRPr="00916878" w:rsidRDefault="000E579A" w:rsidP="000E579A">
      <w:pPr>
        <w:rPr>
          <w:rFonts w:eastAsia="DejaVu Sans" w:cs="Calibri"/>
          <w:sz w:val="20"/>
          <w:szCs w:val="20"/>
          <w:lang w:val="it-IT" w:bidi="en-US"/>
        </w:rPr>
      </w:pPr>
      <w:r w:rsidRPr="00916878">
        <w:rPr>
          <w:rStyle w:val="CommentReference"/>
          <w:rFonts w:cs="Calibri"/>
          <w:sz w:val="20"/>
          <w:szCs w:val="20"/>
          <w:lang w:val="it-IT"/>
        </w:rPr>
        <w:annotationRef/>
      </w:r>
      <w:r w:rsidRPr="00916878">
        <w:rPr>
          <w:rFonts w:eastAsia="DejaVu Sans" w:cs="Calibri"/>
          <w:sz w:val="20"/>
          <w:szCs w:val="20"/>
          <w:lang w:val="it-IT" w:bidi="en-US"/>
        </w:rPr>
        <w:t xml:space="preserve">Per saperne di più sul Piano di Disaster recovery, leggi questo articolo: </w:t>
      </w:r>
    </w:p>
    <w:p w14:paraId="29AEA39E" w14:textId="77777777" w:rsidR="000E579A" w:rsidRDefault="000E579A" w:rsidP="000E579A">
      <w:pPr>
        <w:rPr>
          <w:rFonts w:eastAsia="DejaVu Sans" w:cs="Calibri"/>
          <w:sz w:val="20"/>
          <w:szCs w:val="20"/>
          <w:lang w:bidi="en-US"/>
        </w:rPr>
      </w:pPr>
    </w:p>
    <w:p w14:paraId="2BC79E3F" w14:textId="77777777" w:rsidR="000E579A" w:rsidRPr="006E4450" w:rsidRDefault="000E579A" w:rsidP="000E579A">
      <w:pPr>
        <w:rPr>
          <w:rFonts w:cs="Calibri"/>
          <w:sz w:val="20"/>
          <w:szCs w:val="20"/>
        </w:rPr>
      </w:pPr>
      <w:r w:rsidRPr="006E4450">
        <w:rPr>
          <w:rFonts w:eastAsia="DejaVu Sans" w:cs="Calibri"/>
          <w:sz w:val="20"/>
          <w:szCs w:val="20"/>
          <w:lang w:bidi="en-US"/>
        </w:rPr>
        <w:t xml:space="preserve">Disaster recovery vs business continuity </w:t>
      </w:r>
      <w:hyperlink r:id="rId1" w:history="1">
        <w:r w:rsidRPr="006E4450">
          <w:rPr>
            <w:rStyle w:val="Hyperlink"/>
            <w:rFonts w:eastAsia="DejaVu Sans" w:cs="Calibri"/>
            <w:sz w:val="20"/>
            <w:szCs w:val="20"/>
            <w:lang w:bidi="en-US"/>
          </w:rPr>
          <w:t>http://advisera.com/27001academy/blog/2010/11/04/disaster-recovery-vs-business-continuity/</w:t>
        </w:r>
      </w:hyperlink>
      <w:r w:rsidRPr="006E4450">
        <w:rPr>
          <w:rFonts w:eastAsia="DejaVu Sans" w:cs="Calibri"/>
          <w:sz w:val="20"/>
          <w:szCs w:val="20"/>
          <w:lang w:bidi="en-US"/>
        </w:rPr>
        <w:t xml:space="preserve"> </w:t>
      </w:r>
    </w:p>
  </w:comment>
  <w:comment w:id="3" w:author="EUGDPRAcademy" w:date="2017-11-26T19:36:00Z" w:initials="EUGDPR">
    <w:p w14:paraId="240E930E" w14:textId="77777777" w:rsidR="000E579A" w:rsidRDefault="000E579A" w:rsidP="000E579A">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11" w:author="EUGDPRAcademy" w:date="2017-11-28T12:44:00Z" w:initials="EUGDPR">
    <w:p w14:paraId="5E2C5474"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Puoi anche aggiungere ulteriori presupposti – es. che almeno il 50% degli impiegati nel dipartimento di informatica debbano essere disponibili dopo un incidente.</w:t>
      </w:r>
    </w:p>
  </w:comment>
  <w:comment w:id="12" w:author="EUGDPRAcademy" w:date="2017-11-28T12:44:00Z" w:initials="EUGDPR">
    <w:p w14:paraId="65B0D435"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Specifica i documenti nei quali queste risorse sono state pianificate – es. Procedura di Sicurezza per i Dipartimenti di informatica ecc.</w:t>
      </w:r>
    </w:p>
  </w:comment>
  <w:comment w:id="13" w:author="EUGDPRAcademy" w:date="2017-11-26T19:54:00Z" w:initials="EUGDPR">
    <w:p w14:paraId="4BC9EEF0"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Puoi specificare qui alcuni degli incidenti che questo piano non è in grado di mitigare – es. terremoti importanti.</w:t>
      </w:r>
    </w:p>
  </w:comment>
  <w:comment w:id="16" w:author="EUGDPRAcademy" w:date="2017-11-26T19:54:00Z" w:initials="EUGDPR">
    <w:p w14:paraId="1CE0466E" w14:textId="77777777" w:rsidR="000E579A" w:rsidRPr="00916878" w:rsidRDefault="000E579A" w:rsidP="000E579A">
      <w:pPr>
        <w:rPr>
          <w:rFonts w:eastAsia="DejaVu Sans" w:cs="Calibri"/>
          <w:sz w:val="20"/>
          <w:szCs w:val="20"/>
          <w:lang w:val="it-IT" w:bidi="en-US"/>
        </w:rPr>
      </w:pPr>
      <w:r w:rsidRPr="00916878">
        <w:rPr>
          <w:rStyle w:val="CommentReference"/>
          <w:rFonts w:cs="Calibri"/>
          <w:sz w:val="20"/>
          <w:szCs w:val="20"/>
          <w:lang w:val="it-IT"/>
        </w:rPr>
        <w:annotationRef/>
      </w:r>
      <w:r w:rsidRPr="00916878">
        <w:rPr>
          <w:rFonts w:eastAsia="DejaVu Sans" w:cs="Calibri"/>
          <w:sz w:val="20"/>
          <w:szCs w:val="20"/>
          <w:lang w:val="it-IT" w:bidi="en-US"/>
        </w:rPr>
        <w:t xml:space="preserve">Leggi anche questo articolo: </w:t>
      </w:r>
    </w:p>
    <w:p w14:paraId="62FAAA3F" w14:textId="77777777" w:rsidR="000E579A" w:rsidRDefault="000E579A" w:rsidP="000E579A">
      <w:pPr>
        <w:rPr>
          <w:rFonts w:eastAsia="DejaVu Sans" w:cs="Calibri"/>
          <w:sz w:val="20"/>
          <w:szCs w:val="20"/>
          <w:lang w:bidi="en-US"/>
        </w:rPr>
      </w:pPr>
    </w:p>
    <w:p w14:paraId="45622D3F" w14:textId="77777777" w:rsidR="000E579A" w:rsidRPr="006E4450" w:rsidRDefault="000E579A" w:rsidP="000E579A">
      <w:pPr>
        <w:rPr>
          <w:rFonts w:cs="Calibri"/>
          <w:sz w:val="20"/>
          <w:szCs w:val="20"/>
        </w:rPr>
      </w:pPr>
      <w:r w:rsidRPr="006E4450">
        <w:rPr>
          <w:rFonts w:eastAsia="DejaVu Sans" w:cs="Calibri"/>
          <w:sz w:val="20"/>
          <w:szCs w:val="20"/>
          <w:lang w:bidi="en-US"/>
        </w:rPr>
        <w:t xml:space="preserve">Disaster recovery site – What is the ideal distance from primary site? </w:t>
      </w:r>
      <w:hyperlink r:id="rId2" w:history="1">
        <w:r w:rsidRPr="006E4450">
          <w:rPr>
            <w:rStyle w:val="Hyperlink"/>
            <w:rFonts w:eastAsia="DejaVu Sans" w:cs="Calibri"/>
            <w:sz w:val="20"/>
            <w:szCs w:val="20"/>
            <w:lang w:bidi="en-US"/>
          </w:rPr>
          <w:t>http://advisera.com/27001academy/knowledgebase/disaster-recovery-site-what-is-the-ideal-distance-from-primary-site/</w:t>
        </w:r>
      </w:hyperlink>
      <w:r w:rsidRPr="006E4450">
        <w:rPr>
          <w:rFonts w:eastAsia="DejaVu Sans" w:cs="Calibri"/>
          <w:sz w:val="20"/>
          <w:szCs w:val="20"/>
          <w:lang w:bidi="en-US"/>
        </w:rPr>
        <w:t xml:space="preserve">    </w:t>
      </w:r>
    </w:p>
  </w:comment>
  <w:comment w:id="17" w:author="EUGDPRAcademy" w:date="2017-11-28T12:43:00Z" w:initials="EUGDPR">
    <w:p w14:paraId="626E951D" w14:textId="77777777" w:rsidR="000E579A" w:rsidRPr="001133CE" w:rsidRDefault="000E579A" w:rsidP="000E579A">
      <w:pPr>
        <w:rPr>
          <w:rFonts w:eastAsia="DejaVu Sans" w:cs="Calibri"/>
          <w:sz w:val="20"/>
          <w:szCs w:val="20"/>
          <w:lang w:val="it-IT" w:bidi="en-US"/>
        </w:rPr>
      </w:pPr>
      <w:r w:rsidRPr="006E4450">
        <w:rPr>
          <w:rStyle w:val="CommentReference"/>
          <w:rFonts w:cs="Calibri"/>
          <w:sz w:val="20"/>
          <w:szCs w:val="20"/>
        </w:rPr>
        <w:annotationRef/>
      </w:r>
      <w:r>
        <w:rPr>
          <w:rFonts w:eastAsia="DejaVu Sans" w:cs="Calibri"/>
          <w:sz w:val="20"/>
          <w:szCs w:val="20"/>
          <w:lang w:bidi="en-US"/>
        </w:rPr>
        <w:t>L</w:t>
      </w:r>
      <w:r w:rsidRPr="00CB19C8">
        <w:rPr>
          <w:rFonts w:eastAsia="DejaVu Sans" w:cs="Calibri"/>
          <w:sz w:val="20"/>
          <w:szCs w:val="20"/>
          <w:lang w:bidi="en-US"/>
        </w:rPr>
        <w:t xml:space="preserve">e </w:t>
      </w:r>
      <w:r w:rsidRPr="001133CE">
        <w:rPr>
          <w:rFonts w:eastAsia="DejaVu Sans" w:cs="Calibri"/>
          <w:sz w:val="20"/>
          <w:szCs w:val="20"/>
          <w:lang w:val="it-IT" w:bidi="en-US"/>
        </w:rPr>
        <w:t>strategie di ripristino potrebbero essere, ad esempio:</w:t>
      </w:r>
    </w:p>
    <w:p w14:paraId="475B6176"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siti alternativi all'interno dell'organizzazione (ad esempio, se l'organizzazione stessa dispone di altri siti a sua disposizione);</w:t>
      </w:r>
    </w:p>
    <w:p w14:paraId="17B6C33D"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siti alternativi che possono essere forniti da un'organizzazione associata (ad esempio, se esistono organizzazioni associate alla proprietà che possiedono siti alternativi adeguati);</w:t>
      </w:r>
    </w:p>
    <w:p w14:paraId="596CA6B1"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xml:space="preserve">• Contratti reciproci (se esistono organizzazioni che utilizzano il sito con la stessa configurazione o infrastruttura uguale o simile, possono stipulare un contratto in base al quale un'organizzazione </w:t>
      </w:r>
      <w:r>
        <w:rPr>
          <w:rFonts w:eastAsia="DejaVu Sans" w:cs="Calibri"/>
          <w:sz w:val="20"/>
          <w:szCs w:val="20"/>
          <w:lang w:val="it-IT" w:bidi="en-US"/>
        </w:rPr>
        <w:t>affitta</w:t>
      </w:r>
      <w:r w:rsidRPr="001133CE">
        <w:rPr>
          <w:rFonts w:eastAsia="DejaVu Sans" w:cs="Calibri"/>
          <w:sz w:val="20"/>
          <w:szCs w:val="20"/>
          <w:lang w:val="it-IT" w:bidi="en-US"/>
        </w:rPr>
        <w:t xml:space="preserve"> il proprio sito e l'infrastruttura a un'altra organizzazione in caso di disastro);</w:t>
      </w:r>
    </w:p>
    <w:p w14:paraId="3843C299" w14:textId="77777777" w:rsidR="000E579A" w:rsidRPr="001133CE" w:rsidRDefault="000E579A" w:rsidP="000E579A">
      <w:pPr>
        <w:rPr>
          <w:rFonts w:eastAsia="DejaVu Sans" w:cs="Calibri"/>
          <w:sz w:val="20"/>
          <w:szCs w:val="20"/>
          <w:lang w:val="it-IT" w:bidi="en-US"/>
        </w:rPr>
      </w:pPr>
      <w:r w:rsidRPr="001133CE">
        <w:rPr>
          <w:rFonts w:eastAsia="DejaVu Sans" w:cs="Calibri"/>
          <w:sz w:val="20"/>
          <w:szCs w:val="20"/>
          <w:lang w:val="it-IT" w:bidi="en-US"/>
        </w:rPr>
        <w:t>• siti alternativi forniti da organizzazioni specializzate (ad es. organizzazioni che affittano le proprie strutture in caso di calamità, ma anche alberghi o, ad esempio, istituti di istruzione dotati di infrastrutture ICT);</w:t>
      </w:r>
    </w:p>
    <w:p w14:paraId="1A8D2972" w14:textId="77777777" w:rsidR="000E579A" w:rsidRPr="001133CE" w:rsidRDefault="000E579A" w:rsidP="000E579A">
      <w:pPr>
        <w:rPr>
          <w:rFonts w:cs="Calibri"/>
          <w:sz w:val="20"/>
          <w:szCs w:val="20"/>
          <w:lang w:val="it-IT"/>
        </w:rPr>
      </w:pPr>
      <w:r w:rsidRPr="001133CE">
        <w:rPr>
          <w:rFonts w:eastAsia="DejaVu Sans" w:cs="Calibri"/>
          <w:sz w:val="20"/>
          <w:szCs w:val="20"/>
          <w:lang w:val="it-IT" w:bidi="en-US"/>
        </w:rPr>
        <w:t>• lavoro a casa o in qualche altro luogo remoto (tale opzione è possibile per attività che non richiedono l'accesso a documentazione, infrastrutture, ecc.)</w:t>
      </w:r>
    </w:p>
  </w:comment>
  <w:comment w:id="18" w:author="EUGDPRAcademy" w:date="2017-11-28T12:42:00Z" w:initials="EUGDPR">
    <w:p w14:paraId="347BC74B"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Definire il tempo massimo entro il quale la struttura informatica e i dati devono essere recuperati.</w:t>
      </w:r>
    </w:p>
  </w:comment>
  <w:comment w:id="19" w:author="EUGDPRAcademy" w:date="2017-11-26T20:02:00Z" w:initials="EUGDPR">
    <w:p w14:paraId="0B9949A9"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l’AD.</w:t>
      </w:r>
    </w:p>
  </w:comment>
  <w:comment w:id="20" w:author="EUGDPRAcademy" w:date="2017-11-26T20:03:00Z" w:initials="EUGDPR">
    <w:p w14:paraId="12ABA1D4"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tutti gli impiegati del Dipartimento di Informatica e il Responsabile della Protezione dei Dati.</w:t>
      </w:r>
    </w:p>
  </w:comment>
  <w:comment w:id="21" w:author="EUGDPRAcademy" w:date="2017-11-26T20:03:00Z" w:initials="EUGDPR">
    <w:p w14:paraId="5D6BF5CA"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il Responsabile del Dipartimento di Infornatica.</w:t>
      </w:r>
    </w:p>
  </w:comment>
  <w:comment w:id="22" w:author="EUGDPRAcademy" w:date="2017-11-26T20:03:00Z" w:initials="EUGDPR">
    <w:p w14:paraId="11C133EE"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Di solito il Responsabile del Dipartimento di Infornatica.</w:t>
      </w:r>
    </w:p>
  </w:comment>
  <w:comment w:id="23" w:author="EUGDPRAcademy" w:date="2017-11-28T12:41:00Z" w:initials="EUGDPR">
    <w:p w14:paraId="3BF1FA5E" w14:textId="77777777" w:rsidR="000E579A" w:rsidRPr="00916878" w:rsidRDefault="000E579A" w:rsidP="000E579A">
      <w:pPr>
        <w:rPr>
          <w:rFonts w:cs="Calibri"/>
          <w:sz w:val="20"/>
          <w:szCs w:val="20"/>
          <w:lang w:val="it-IT"/>
        </w:rPr>
      </w:pPr>
      <w:r w:rsidRPr="00916878">
        <w:rPr>
          <w:rStyle w:val="CommentReference"/>
          <w:rFonts w:cs="Calibri"/>
          <w:sz w:val="20"/>
          <w:szCs w:val="20"/>
          <w:lang w:val="it-IT"/>
        </w:rPr>
        <w:annotationRef/>
      </w:r>
      <w:r w:rsidRPr="00916878">
        <w:rPr>
          <w:rFonts w:eastAsia="DejaVu Sans" w:cs="Calibri"/>
          <w:sz w:val="20"/>
          <w:szCs w:val="20"/>
          <w:lang w:val="it-IT" w:bidi="en-US"/>
        </w:rPr>
        <w:t>Il criterio usuale è che tutte le condizioni siano soddisfatte per riprendere la fornitura di servizi IT agli utenti aziendali.</w:t>
      </w:r>
    </w:p>
  </w:comment>
  <w:comment w:id="24" w:author="EUGDPRAcademy" w:date="2017-11-28T12:41:00Z" w:initials="GDPR">
    <w:p w14:paraId="4D1EB7DF" w14:textId="77777777" w:rsidR="000E579A" w:rsidRPr="00916878" w:rsidRDefault="000E579A" w:rsidP="000E579A">
      <w:pPr>
        <w:rPr>
          <w:rFonts w:cs="Calibri"/>
          <w:sz w:val="20"/>
          <w:szCs w:val="20"/>
          <w:lang w:val="it-IT"/>
        </w:rPr>
      </w:pPr>
      <w:r w:rsidRPr="00916878">
        <w:rPr>
          <w:rFonts w:eastAsia="DejaVu Sans" w:cs="Calibri"/>
          <w:sz w:val="20"/>
          <w:szCs w:val="20"/>
          <w:lang w:val="it-IT" w:bidi="en-US"/>
        </w:rPr>
        <w:t xml:space="preserve">Scrivi qui quello che bisogna fare per recuperare i dati personali, ma anche gli obblighi che avete nei confronti delle altre parti interessate.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9AC471" w15:done="0"/>
  <w15:commentEx w15:paraId="46919A2D" w15:done="0"/>
  <w15:commentEx w15:paraId="2BC79E3F" w15:done="0"/>
  <w15:commentEx w15:paraId="240E930E" w15:done="0"/>
  <w15:commentEx w15:paraId="5E2C5474" w15:done="0"/>
  <w15:commentEx w15:paraId="65B0D435" w15:done="0"/>
  <w15:commentEx w15:paraId="4BC9EEF0" w15:done="0"/>
  <w15:commentEx w15:paraId="45622D3F" w15:done="0"/>
  <w15:commentEx w15:paraId="1A8D2972" w15:done="0"/>
  <w15:commentEx w15:paraId="347BC74B" w15:done="0"/>
  <w15:commentEx w15:paraId="0B9949A9" w15:done="0"/>
  <w15:commentEx w15:paraId="12ABA1D4" w15:done="0"/>
  <w15:commentEx w15:paraId="5D6BF5CA" w15:done="0"/>
  <w15:commentEx w15:paraId="11C133EE" w15:done="0"/>
  <w15:commentEx w15:paraId="3BF1FA5E" w15:done="0"/>
  <w15:commentEx w15:paraId="4D1EB7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9EB8A" w14:textId="77777777" w:rsidR="00207625" w:rsidRDefault="00207625">
      <w:pPr>
        <w:spacing w:after="0" w:line="240" w:lineRule="auto"/>
      </w:pPr>
      <w:r>
        <w:separator/>
      </w:r>
    </w:p>
  </w:endnote>
  <w:endnote w:type="continuationSeparator" w:id="0">
    <w:p w14:paraId="6B331BF4" w14:textId="77777777" w:rsidR="00207625" w:rsidRDefault="00207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369"/>
      <w:gridCol w:w="2693"/>
      <w:gridCol w:w="3260"/>
    </w:tblGrid>
    <w:tr w:rsidR="00D54F11" w:rsidRPr="00DD0286" w14:paraId="47FEA0A8" w14:textId="77777777" w:rsidTr="00D82237">
      <w:tc>
        <w:tcPr>
          <w:tcW w:w="3369" w:type="dxa"/>
          <w:shd w:val="clear" w:color="auto" w:fill="auto"/>
        </w:tcPr>
        <w:p w14:paraId="7A812479" w14:textId="576152CF" w:rsidR="00D54F11" w:rsidRPr="00DD0286" w:rsidRDefault="000E579A">
          <w:pPr>
            <w:pStyle w:val="Footer"/>
            <w:rPr>
              <w:sz w:val="18"/>
              <w:szCs w:val="18"/>
              <w:lang w:val="it-IT"/>
            </w:rPr>
          </w:pPr>
          <w:r>
            <w:rPr>
              <w:sz w:val="18"/>
              <w:szCs w:val="18"/>
              <w:lang w:val="it-IT"/>
            </w:rPr>
            <w:t>Piano di Disaster Recovery</w:t>
          </w:r>
        </w:p>
      </w:tc>
      <w:tc>
        <w:tcPr>
          <w:tcW w:w="2693" w:type="dxa"/>
          <w:shd w:val="clear" w:color="auto" w:fill="auto"/>
        </w:tcPr>
        <w:p w14:paraId="47613868" w14:textId="7CC258EB" w:rsidR="00D54F11" w:rsidRPr="00DD0286" w:rsidRDefault="00D54F11">
          <w:pPr>
            <w:pStyle w:val="Footer"/>
            <w:jc w:val="center"/>
            <w:rPr>
              <w:sz w:val="18"/>
              <w:szCs w:val="18"/>
              <w:lang w:val="it-IT"/>
            </w:rPr>
          </w:pPr>
          <w:r w:rsidRPr="00DD0286">
            <w:rPr>
              <w:sz w:val="18"/>
              <w:szCs w:val="18"/>
              <w:lang w:val="it-IT"/>
            </w:rPr>
            <w:t>rev. [n° di revisione] del [data]</w:t>
          </w:r>
        </w:p>
      </w:tc>
      <w:tc>
        <w:tcPr>
          <w:tcW w:w="3260" w:type="dxa"/>
          <w:shd w:val="clear" w:color="auto" w:fill="auto"/>
        </w:tcPr>
        <w:p w14:paraId="77BDD0C2" w14:textId="3968E2B5" w:rsidR="00D54F11" w:rsidRPr="00DD0286" w:rsidRDefault="00D54F11">
          <w:pPr>
            <w:pStyle w:val="Footer"/>
            <w:jc w:val="right"/>
            <w:rPr>
              <w:sz w:val="18"/>
              <w:szCs w:val="18"/>
              <w:lang w:val="it-IT"/>
            </w:rPr>
          </w:pPr>
          <w:r w:rsidRPr="00DD0286">
            <w:rPr>
              <w:sz w:val="18"/>
              <w:szCs w:val="18"/>
              <w:lang w:val="it-IT"/>
            </w:rPr>
            <w:t xml:space="preserve">Pagina </w:t>
          </w:r>
          <w:r w:rsidRPr="00DD0286">
            <w:rPr>
              <w:b/>
              <w:sz w:val="18"/>
              <w:szCs w:val="18"/>
              <w:lang w:val="it-IT"/>
            </w:rPr>
            <w:fldChar w:fldCharType="begin"/>
          </w:r>
          <w:r w:rsidRPr="00DD0286">
            <w:rPr>
              <w:sz w:val="18"/>
              <w:szCs w:val="18"/>
              <w:lang w:val="it-IT"/>
            </w:rPr>
            <w:instrText>PAGE</w:instrText>
          </w:r>
          <w:r w:rsidRPr="00DD0286">
            <w:rPr>
              <w:sz w:val="18"/>
              <w:szCs w:val="18"/>
              <w:lang w:val="it-IT"/>
            </w:rPr>
            <w:fldChar w:fldCharType="separate"/>
          </w:r>
          <w:r w:rsidR="007F69F9">
            <w:rPr>
              <w:noProof/>
              <w:sz w:val="18"/>
              <w:szCs w:val="18"/>
              <w:lang w:val="it-IT"/>
            </w:rPr>
            <w:t>2</w:t>
          </w:r>
          <w:r w:rsidRPr="00DD0286">
            <w:rPr>
              <w:sz w:val="18"/>
              <w:szCs w:val="18"/>
              <w:lang w:val="it-IT"/>
            </w:rPr>
            <w:fldChar w:fldCharType="end"/>
          </w:r>
          <w:r w:rsidRPr="00DD0286">
            <w:rPr>
              <w:sz w:val="18"/>
              <w:szCs w:val="18"/>
              <w:lang w:val="it-IT"/>
            </w:rPr>
            <w:t xml:space="preserve"> di </w:t>
          </w:r>
          <w:r w:rsidRPr="00DD0286">
            <w:rPr>
              <w:b/>
              <w:sz w:val="18"/>
              <w:szCs w:val="18"/>
              <w:lang w:val="it-IT"/>
            </w:rPr>
            <w:fldChar w:fldCharType="begin"/>
          </w:r>
          <w:r w:rsidRPr="00DD0286">
            <w:rPr>
              <w:sz w:val="18"/>
              <w:szCs w:val="18"/>
              <w:lang w:val="it-IT"/>
            </w:rPr>
            <w:instrText>NUMPAGES</w:instrText>
          </w:r>
          <w:r w:rsidRPr="00DD0286">
            <w:rPr>
              <w:sz w:val="18"/>
              <w:szCs w:val="18"/>
              <w:lang w:val="it-IT"/>
            </w:rPr>
            <w:fldChar w:fldCharType="separate"/>
          </w:r>
          <w:r w:rsidR="007F69F9">
            <w:rPr>
              <w:noProof/>
              <w:sz w:val="18"/>
              <w:szCs w:val="18"/>
              <w:lang w:val="it-IT"/>
            </w:rPr>
            <w:t>4</w:t>
          </w:r>
          <w:r w:rsidRPr="00DD0286">
            <w:rPr>
              <w:sz w:val="18"/>
              <w:szCs w:val="18"/>
              <w:lang w:val="it-IT"/>
            </w:rPr>
            <w:fldChar w:fldCharType="end"/>
          </w:r>
        </w:p>
      </w:tc>
    </w:tr>
  </w:tbl>
  <w:p w14:paraId="0E662261" w14:textId="20442A8D" w:rsidR="00D54F11" w:rsidRPr="00DD0286" w:rsidRDefault="00D54F11">
    <w:pPr>
      <w:spacing w:after="0"/>
      <w:jc w:val="center"/>
      <w:rPr>
        <w:sz w:val="16"/>
        <w:szCs w:val="16"/>
        <w:lang w:val="it-IT"/>
      </w:rPr>
    </w:pPr>
    <w:r w:rsidRPr="00DD0286">
      <w:rPr>
        <w:sz w:val="16"/>
        <w:lang w:val="it-IT"/>
      </w:rPr>
      <w:t xml:space="preserve">©2017 </w:t>
    </w:r>
    <w:r w:rsidRPr="00DD0286">
      <w:rPr>
        <w:sz w:val="16"/>
        <w:szCs w:val="16"/>
        <w:lang w:val="it-IT"/>
      </w:rPr>
      <w:t>Questo modello può essere utilizzato dai clienti di Advisera Expert Solutions Ltd. in accordo alla Licenza d'uso</w:t>
    </w:r>
    <w:r w:rsidRPr="00DD0286">
      <w:rPr>
        <w:sz w:val="16"/>
        <w:lang w:val="it-IT"/>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BE387" w14:textId="2E4C870A" w:rsidR="00D54F11" w:rsidRPr="00DD0286" w:rsidRDefault="00D54F11">
    <w:pPr>
      <w:spacing w:after="0"/>
      <w:jc w:val="center"/>
      <w:rPr>
        <w:sz w:val="16"/>
        <w:szCs w:val="16"/>
        <w:lang w:val="it-IT"/>
      </w:rPr>
    </w:pPr>
    <w:r w:rsidRPr="00DD0286">
      <w:rPr>
        <w:sz w:val="16"/>
        <w:lang w:val="it-IT"/>
      </w:rPr>
      <w:t xml:space="preserve">©2017 </w:t>
    </w:r>
    <w:r w:rsidRPr="00DD0286">
      <w:rPr>
        <w:sz w:val="16"/>
        <w:szCs w:val="16"/>
        <w:lang w:val="it-IT"/>
      </w:rPr>
      <w:t>Questo modello può essere utilizzato dai clienti di Advisera Expert Solutions Ltd. in accordo alla Licenza d'uso</w:t>
    </w:r>
    <w:r w:rsidRPr="00DD0286">
      <w:rPr>
        <w:sz w:val="16"/>
        <w:lang w:val="it-I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4C1BA" w14:textId="77777777" w:rsidR="00207625" w:rsidRDefault="00207625">
      <w:pPr>
        <w:spacing w:after="0" w:line="240" w:lineRule="auto"/>
      </w:pPr>
      <w:r>
        <w:separator/>
      </w:r>
    </w:p>
  </w:footnote>
  <w:footnote w:type="continuationSeparator" w:id="0">
    <w:p w14:paraId="687350FD" w14:textId="77777777" w:rsidR="00207625" w:rsidRDefault="002076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54F11" w:rsidRPr="00DD0286" w14:paraId="034D3BED" w14:textId="77777777" w:rsidTr="00D82237">
      <w:tc>
        <w:tcPr>
          <w:tcW w:w="6590" w:type="dxa"/>
          <w:shd w:val="clear" w:color="auto" w:fill="auto"/>
        </w:tcPr>
        <w:p w14:paraId="5B4C3777" w14:textId="77777777" w:rsidR="00D54F11" w:rsidRPr="00DD0286" w:rsidRDefault="00D54F11" w:rsidP="00306305">
          <w:pPr>
            <w:pStyle w:val="Header"/>
            <w:spacing w:after="0"/>
            <w:rPr>
              <w:sz w:val="20"/>
              <w:szCs w:val="20"/>
              <w:lang w:val="it-IT"/>
            </w:rPr>
          </w:pPr>
          <w:r w:rsidRPr="00DD0286">
            <w:rPr>
              <w:sz w:val="20"/>
              <w:szCs w:val="18"/>
              <w:lang w:val="it-IT"/>
            </w:rPr>
            <w:t xml:space="preserve"> [nome dell’organizzazione]</w:t>
          </w:r>
        </w:p>
      </w:tc>
      <w:tc>
        <w:tcPr>
          <w:tcW w:w="2482" w:type="dxa"/>
          <w:shd w:val="clear" w:color="auto" w:fill="auto"/>
        </w:tcPr>
        <w:p w14:paraId="15F8C293" w14:textId="77777777" w:rsidR="00D54F11" w:rsidRPr="00DD0286" w:rsidRDefault="00D54F11" w:rsidP="00306305">
          <w:pPr>
            <w:pStyle w:val="Header"/>
            <w:spacing w:after="0"/>
            <w:jc w:val="right"/>
            <w:rPr>
              <w:sz w:val="20"/>
              <w:szCs w:val="20"/>
              <w:lang w:val="it-IT"/>
            </w:rPr>
          </w:pPr>
          <w:r w:rsidRPr="00DD0286">
            <w:rPr>
              <w:sz w:val="20"/>
              <w:szCs w:val="18"/>
              <w:lang w:val="it-IT"/>
            </w:rPr>
            <w:t>[livello di riservatezza]</w:t>
          </w:r>
        </w:p>
      </w:tc>
    </w:tr>
  </w:tbl>
  <w:p w14:paraId="2CEADA3C" w14:textId="77777777" w:rsidR="00D54F11" w:rsidRPr="00DD0286" w:rsidRDefault="00D54F11">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3443"/>
    <w:multiLevelType w:val="multilevel"/>
    <w:tmpl w:val="4F469F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C387172"/>
    <w:multiLevelType w:val="multilevel"/>
    <w:tmpl w:val="D4F2C8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CF2591C"/>
    <w:multiLevelType w:val="multilevel"/>
    <w:tmpl w:val="88D0254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46F1AAA"/>
    <w:multiLevelType w:val="hybridMultilevel"/>
    <w:tmpl w:val="47B0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71359E"/>
    <w:multiLevelType w:val="hybridMultilevel"/>
    <w:tmpl w:val="4B403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9E3842"/>
    <w:multiLevelType w:val="multilevel"/>
    <w:tmpl w:val="196C882A"/>
    <w:lvl w:ilvl="0">
      <w:start w:val="1"/>
      <w:numFmt w:val="bullet"/>
      <w:lvlText w:val=""/>
      <w:lvlJc w:val="left"/>
      <w:pPr>
        <w:ind w:left="750" w:hanging="360"/>
      </w:pPr>
      <w:rPr>
        <w:rFonts w:ascii="Symbol" w:hAnsi="Symbol" w:cs="Symbol" w:hint="default"/>
      </w:rPr>
    </w:lvl>
    <w:lvl w:ilvl="1">
      <w:start w:val="1"/>
      <w:numFmt w:val="bullet"/>
      <w:lvlText w:val="o"/>
      <w:lvlJc w:val="left"/>
      <w:pPr>
        <w:ind w:left="1470" w:hanging="360"/>
      </w:pPr>
      <w:rPr>
        <w:rFonts w:ascii="Courier New" w:hAnsi="Courier New" w:cs="Courier New" w:hint="default"/>
      </w:rPr>
    </w:lvl>
    <w:lvl w:ilvl="2">
      <w:start w:val="1"/>
      <w:numFmt w:val="bullet"/>
      <w:lvlText w:val=""/>
      <w:lvlJc w:val="left"/>
      <w:pPr>
        <w:ind w:left="2190" w:hanging="360"/>
      </w:pPr>
      <w:rPr>
        <w:rFonts w:ascii="Wingdings" w:hAnsi="Wingdings" w:cs="Wingdings" w:hint="default"/>
      </w:rPr>
    </w:lvl>
    <w:lvl w:ilvl="3">
      <w:start w:val="1"/>
      <w:numFmt w:val="bullet"/>
      <w:lvlText w:val=""/>
      <w:lvlJc w:val="left"/>
      <w:pPr>
        <w:ind w:left="2910" w:hanging="360"/>
      </w:pPr>
      <w:rPr>
        <w:rFonts w:ascii="Symbol" w:hAnsi="Symbol" w:cs="Symbol" w:hint="default"/>
      </w:rPr>
    </w:lvl>
    <w:lvl w:ilvl="4">
      <w:start w:val="1"/>
      <w:numFmt w:val="bullet"/>
      <w:lvlText w:val="o"/>
      <w:lvlJc w:val="left"/>
      <w:pPr>
        <w:ind w:left="3630" w:hanging="360"/>
      </w:pPr>
      <w:rPr>
        <w:rFonts w:ascii="Courier New" w:hAnsi="Courier New" w:cs="Courier New" w:hint="default"/>
      </w:rPr>
    </w:lvl>
    <w:lvl w:ilvl="5">
      <w:start w:val="1"/>
      <w:numFmt w:val="bullet"/>
      <w:lvlText w:val=""/>
      <w:lvlJc w:val="left"/>
      <w:pPr>
        <w:ind w:left="4350" w:hanging="360"/>
      </w:pPr>
      <w:rPr>
        <w:rFonts w:ascii="Wingdings" w:hAnsi="Wingdings" w:cs="Wingdings" w:hint="default"/>
      </w:rPr>
    </w:lvl>
    <w:lvl w:ilvl="6">
      <w:start w:val="1"/>
      <w:numFmt w:val="bullet"/>
      <w:lvlText w:val=""/>
      <w:lvlJc w:val="left"/>
      <w:pPr>
        <w:ind w:left="5070" w:hanging="360"/>
      </w:pPr>
      <w:rPr>
        <w:rFonts w:ascii="Symbol" w:hAnsi="Symbol" w:cs="Symbol" w:hint="default"/>
      </w:rPr>
    </w:lvl>
    <w:lvl w:ilvl="7">
      <w:start w:val="1"/>
      <w:numFmt w:val="bullet"/>
      <w:lvlText w:val="o"/>
      <w:lvlJc w:val="left"/>
      <w:pPr>
        <w:ind w:left="5790" w:hanging="360"/>
      </w:pPr>
      <w:rPr>
        <w:rFonts w:ascii="Courier New" w:hAnsi="Courier New" w:cs="Courier New" w:hint="default"/>
      </w:rPr>
    </w:lvl>
    <w:lvl w:ilvl="8">
      <w:start w:val="1"/>
      <w:numFmt w:val="bullet"/>
      <w:lvlText w:val=""/>
      <w:lvlJc w:val="left"/>
      <w:pPr>
        <w:ind w:left="6510" w:hanging="360"/>
      </w:pPr>
      <w:rPr>
        <w:rFonts w:ascii="Wingdings" w:hAnsi="Wingdings" w:cs="Wingdings" w:hint="default"/>
      </w:rPr>
    </w:lvl>
  </w:abstractNum>
  <w:abstractNum w:abstractNumId="6">
    <w:nsid w:val="20C135AD"/>
    <w:multiLevelType w:val="multilevel"/>
    <w:tmpl w:val="C87A94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2358213C"/>
    <w:multiLevelType w:val="multilevel"/>
    <w:tmpl w:val="415842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3E1D0D04"/>
    <w:multiLevelType w:val="multilevel"/>
    <w:tmpl w:val="0E0AE7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4D533998"/>
    <w:multiLevelType w:val="multilevel"/>
    <w:tmpl w:val="6DA495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55A13C2"/>
    <w:multiLevelType w:val="hybridMultilevel"/>
    <w:tmpl w:val="6D98C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AA207D"/>
    <w:multiLevelType w:val="multilevel"/>
    <w:tmpl w:val="04D4785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64251C1E"/>
    <w:multiLevelType w:val="multilevel"/>
    <w:tmpl w:val="E3ACC1E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706526EB"/>
    <w:multiLevelType w:val="multilevel"/>
    <w:tmpl w:val="7262AE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14"/>
  </w:num>
  <w:num w:numId="4">
    <w:abstractNumId w:val="10"/>
  </w:num>
  <w:num w:numId="5">
    <w:abstractNumId w:val="5"/>
  </w:num>
  <w:num w:numId="6">
    <w:abstractNumId w:val="12"/>
  </w:num>
  <w:num w:numId="7">
    <w:abstractNumId w:val="8"/>
  </w:num>
  <w:num w:numId="8">
    <w:abstractNumId w:val="6"/>
  </w:num>
  <w:num w:numId="9">
    <w:abstractNumId w:val="6"/>
  </w:num>
  <w:num w:numId="10">
    <w:abstractNumId w:val="13"/>
  </w:num>
  <w:num w:numId="11">
    <w:abstractNumId w:val="7"/>
  </w:num>
  <w:num w:numId="12">
    <w:abstractNumId w:val="1"/>
  </w:num>
  <w:num w:numId="13">
    <w:abstractNumId w:val="9"/>
  </w:num>
  <w:num w:numId="14">
    <w:abstractNumId w:val="0"/>
  </w:num>
  <w:num w:numId="15">
    <w:abstractNumId w:val="4"/>
  </w:num>
  <w:num w:numId="16">
    <w:abstractNumId w:val="11"/>
  </w:num>
  <w:num w:numId="1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0A"/>
    <w:rsid w:val="00070537"/>
    <w:rsid w:val="000B2F5D"/>
    <w:rsid w:val="000C130A"/>
    <w:rsid w:val="000E579A"/>
    <w:rsid w:val="001F5277"/>
    <w:rsid w:val="00207625"/>
    <w:rsid w:val="00210F21"/>
    <w:rsid w:val="0023114F"/>
    <w:rsid w:val="00244BEC"/>
    <w:rsid w:val="002E547D"/>
    <w:rsid w:val="00306305"/>
    <w:rsid w:val="00347CFB"/>
    <w:rsid w:val="00391EBB"/>
    <w:rsid w:val="004B2928"/>
    <w:rsid w:val="00573E78"/>
    <w:rsid w:val="005A64AA"/>
    <w:rsid w:val="00614C1C"/>
    <w:rsid w:val="00624795"/>
    <w:rsid w:val="00687468"/>
    <w:rsid w:val="007F14E5"/>
    <w:rsid w:val="007F69F9"/>
    <w:rsid w:val="00856138"/>
    <w:rsid w:val="00916878"/>
    <w:rsid w:val="0094192E"/>
    <w:rsid w:val="00A4328B"/>
    <w:rsid w:val="00AD02C4"/>
    <w:rsid w:val="00C447BC"/>
    <w:rsid w:val="00D0510F"/>
    <w:rsid w:val="00D54F11"/>
    <w:rsid w:val="00D82237"/>
    <w:rsid w:val="00DD0286"/>
    <w:rsid w:val="00FA4972"/>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AC4AF6"/>
  <w15:docId w15:val="{D21C688E-310D-46BF-A593-928E8E3C5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916878"/>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8637D2"/>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44BEC"/>
    <w:rPr>
      <w:color w:val="0000FF" w:themeColor="hyperlink"/>
      <w:u w:val="single"/>
    </w:rPr>
  </w:style>
  <w:style w:type="character" w:customStyle="1" w:styleId="UnresolvedMention">
    <w:name w:val="Unresolved Mention"/>
    <w:basedOn w:val="DefaultParagraphFont"/>
    <w:uiPriority w:val="99"/>
    <w:semiHidden/>
    <w:unhideWhenUsed/>
    <w:rsid w:val="00244BEC"/>
    <w:rPr>
      <w:color w:val="808080"/>
      <w:shd w:val="clear" w:color="auto" w:fill="E6E6E6"/>
    </w:rPr>
  </w:style>
  <w:style w:type="character" w:styleId="FollowedHyperlink">
    <w:name w:val="FollowedHyperlink"/>
    <w:basedOn w:val="DefaultParagraphFont"/>
    <w:uiPriority w:val="99"/>
    <w:semiHidden/>
    <w:unhideWhenUsed/>
    <w:rsid w:val="00D82237"/>
    <w:rPr>
      <w:color w:val="800080" w:themeColor="followedHyperlink"/>
      <w:u w:val="single"/>
    </w:rPr>
  </w:style>
  <w:style w:type="paragraph" w:styleId="ListParagraph">
    <w:name w:val="List Paragraph"/>
    <w:basedOn w:val="Normal"/>
    <w:uiPriority w:val="34"/>
    <w:qFormat/>
    <w:rsid w:val="00624795"/>
    <w:pPr>
      <w:ind w:left="720"/>
      <w:contextualSpacing/>
    </w:pPr>
  </w:style>
  <w:style w:type="paragraph" w:styleId="NoSpacing">
    <w:name w:val="No Spacing"/>
    <w:uiPriority w:val="1"/>
    <w:qFormat/>
    <w:rsid w:val="00DD0286"/>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advisera.com/27001academy/knowledgebase/disaster-recovery-site-what-is-the-ideal-distance-from-primary-site/" TargetMode="External"/><Relationship Id="rId1" Type="http://schemas.openxmlformats.org/officeDocument/2006/relationships/hyperlink" Target="http://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it/documentation/piano-di-disaster-recover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D716E79-E069-4993-88A4-41DD8F82B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544</Words>
  <Characters>3101</Characters>
  <Application>Microsoft Office Word</Application>
  <DocSecurity>0</DocSecurity>
  <Lines>25</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Politica sull’Uso della Cifratura</vt:lpstr>
      <vt:lpstr>Politica sull’Uso della Cifratura</vt:lpstr>
    </vt:vector>
  </TitlesOfParts>
  <Manager/>
  <Company>Advisera Expert Solutions Ltd</Company>
  <LinksUpToDate>false</LinksUpToDate>
  <CharactersWithSpaces>3638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di Disaster Recovery</dc:title>
  <dc:subject/>
  <dc:creator>EUGDPRAcademy</dc:creator>
  <cp:keywords/>
  <dc:description>©2017 Questo modello può essere utilizzato dai clienti di Advisera Expert Solutions Ltd. in accordo alla Licenza d'uso.</dc:description>
  <cp:lastModifiedBy>EUGDPRAcademy</cp:lastModifiedBy>
  <cp:revision>25</cp:revision>
  <dcterms:created xsi:type="dcterms:W3CDTF">2017-11-26T17:32:00Z</dcterms:created>
  <dcterms:modified xsi:type="dcterms:W3CDTF">2017-12-04T10:28:00Z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