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0FF42" w14:textId="447EDBC5" w:rsidR="00DA219C" w:rsidRDefault="00664D22" w:rsidP="00664D22">
      <w:pPr>
        <w:jc w:val="center"/>
        <w:rPr>
          <w:b/>
          <w:sz w:val="28"/>
          <w:szCs w:val="28"/>
        </w:rPr>
      </w:pPr>
      <w:r w:rsidRPr="00175F7D">
        <w:rPr>
          <w:lang w:eastAsia="en-US"/>
        </w:rPr>
        <w:t>** VERSIÓN DE MUESTRA GRATIS **</w:t>
      </w:r>
    </w:p>
    <w:p w14:paraId="023D62B1" w14:textId="77777777" w:rsidR="00DA219C" w:rsidRDefault="00DA219C" w:rsidP="003A1FE5">
      <w:pPr>
        <w:rPr>
          <w:b/>
          <w:sz w:val="28"/>
          <w:szCs w:val="28"/>
        </w:rPr>
      </w:pPr>
    </w:p>
    <w:p w14:paraId="0644BBDB" w14:textId="72BF44EE" w:rsidR="003A1FE5" w:rsidRPr="00A869EF" w:rsidRDefault="00DA219C" w:rsidP="003A1FE5">
      <w:pPr>
        <w:rPr>
          <w:b/>
          <w:sz w:val="28"/>
          <w:szCs w:val="28"/>
        </w:rPr>
      </w:pPr>
      <w:r>
        <w:rPr>
          <w:b/>
          <w:sz w:val="28"/>
        </w:rPr>
        <w:t xml:space="preserve"> </w:t>
      </w:r>
    </w:p>
    <w:p w14:paraId="5006F0AA" w14:textId="77777777" w:rsidR="00DA219C" w:rsidRDefault="00DA219C" w:rsidP="00DA219C"/>
    <w:p w14:paraId="354B8E4E" w14:textId="77777777" w:rsidR="00DA219C" w:rsidRDefault="00DA219C" w:rsidP="00DA219C"/>
    <w:p w14:paraId="2E9F07C0" w14:textId="77777777" w:rsidR="00DA219C" w:rsidRDefault="00DA219C" w:rsidP="00DA219C"/>
    <w:p w14:paraId="25F91A2F" w14:textId="77777777" w:rsidR="00DA219C" w:rsidRDefault="00DA219C" w:rsidP="00DA219C"/>
    <w:p w14:paraId="0CEB4A0A" w14:textId="77777777" w:rsidR="00F534FB" w:rsidRDefault="00F534FB" w:rsidP="00F534FB">
      <w:pPr>
        <w:jc w:val="center"/>
      </w:pPr>
      <w:commentRangeStart w:id="0"/>
      <w:r>
        <w:t>[</w:t>
      </w:r>
      <w:proofErr w:type="gramStart"/>
      <w:r>
        <w:t>logo</w:t>
      </w:r>
      <w:proofErr w:type="gramEnd"/>
      <w:r>
        <w:t xml:space="preserve"> de la organización]</w:t>
      </w:r>
      <w:commentRangeEnd w:id="0"/>
      <w:r w:rsidR="0030531D">
        <w:rPr>
          <w:rStyle w:val="CommentReference"/>
        </w:rPr>
        <w:commentReference w:id="0"/>
      </w:r>
    </w:p>
    <w:p w14:paraId="39841F60" w14:textId="77777777" w:rsidR="00F534FB" w:rsidRDefault="00F534FB" w:rsidP="00F534FB">
      <w:pPr>
        <w:jc w:val="center"/>
      </w:pPr>
      <w:r>
        <w:t>[</w:t>
      </w:r>
      <w:proofErr w:type="gramStart"/>
      <w:r>
        <w:t>nombre</w:t>
      </w:r>
      <w:proofErr w:type="gramEnd"/>
      <w:r>
        <w:t xml:space="preserve"> de la organización]</w:t>
      </w:r>
    </w:p>
    <w:p w14:paraId="1CB47321" w14:textId="77777777" w:rsidR="00F534FB" w:rsidRDefault="00F534FB" w:rsidP="00F534FB">
      <w:pPr>
        <w:jc w:val="center"/>
      </w:pPr>
    </w:p>
    <w:p w14:paraId="51B176E1" w14:textId="77777777" w:rsidR="00F534FB" w:rsidRDefault="00F534FB" w:rsidP="00F534FB">
      <w:pPr>
        <w:jc w:val="center"/>
      </w:pPr>
    </w:p>
    <w:p w14:paraId="202A70EE" w14:textId="77777777" w:rsidR="00F534FB" w:rsidRDefault="00F534FB" w:rsidP="00F534FB">
      <w:pPr>
        <w:jc w:val="center"/>
        <w:rPr>
          <w:b/>
          <w:sz w:val="32"/>
          <w:szCs w:val="32"/>
        </w:rPr>
      </w:pPr>
      <w:commentRangeStart w:id="1"/>
      <w:commentRangeStart w:id="2"/>
      <w:r>
        <w:rPr>
          <w:b/>
          <w:sz w:val="32"/>
        </w:rPr>
        <w:t>PLAN DE RECUPERACIÓN ANTE DESASTRES</w:t>
      </w:r>
      <w:commentRangeEnd w:id="1"/>
      <w:r w:rsidR="007A4854">
        <w:rPr>
          <w:rStyle w:val="CommentReference"/>
        </w:rPr>
        <w:commentReference w:id="1"/>
      </w:r>
      <w:commentRangeEnd w:id="2"/>
      <w:r w:rsidR="007A4854">
        <w:rPr>
          <w:rStyle w:val="CommentReference"/>
        </w:rPr>
        <w:commentReference w:id="2"/>
      </w:r>
    </w:p>
    <w:p w14:paraId="173B101D" w14:textId="77777777" w:rsidR="00F534FB" w:rsidRDefault="00F534FB" w:rsidP="00F534FB">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F534FB" w14:paraId="09AD172C" w14:textId="77777777" w:rsidTr="00FF7763">
        <w:tc>
          <w:tcPr>
            <w:tcW w:w="2376" w:type="dxa"/>
          </w:tcPr>
          <w:p w14:paraId="4FE5DE1C" w14:textId="77777777" w:rsidR="00F534FB" w:rsidRDefault="00F534FB" w:rsidP="00FF7763">
            <w:commentRangeStart w:id="3"/>
            <w:r>
              <w:t>Código</w:t>
            </w:r>
            <w:commentRangeEnd w:id="3"/>
            <w:r w:rsidR="0030531D">
              <w:rPr>
                <w:rStyle w:val="CommentReference"/>
              </w:rPr>
              <w:commentReference w:id="3"/>
            </w:r>
            <w:r>
              <w:t>:</w:t>
            </w:r>
          </w:p>
        </w:tc>
        <w:tc>
          <w:tcPr>
            <w:tcW w:w="6912" w:type="dxa"/>
          </w:tcPr>
          <w:p w14:paraId="4086AD24" w14:textId="77777777" w:rsidR="00F534FB" w:rsidRDefault="00F534FB" w:rsidP="00FF7763"/>
        </w:tc>
      </w:tr>
      <w:tr w:rsidR="00F534FB" w14:paraId="5AF42929" w14:textId="77777777" w:rsidTr="00FF7763">
        <w:tc>
          <w:tcPr>
            <w:tcW w:w="2376" w:type="dxa"/>
          </w:tcPr>
          <w:p w14:paraId="505EA556" w14:textId="77777777" w:rsidR="00F534FB" w:rsidRDefault="00F534FB" w:rsidP="00FF7763">
            <w:r>
              <w:t>Versión:</w:t>
            </w:r>
          </w:p>
        </w:tc>
        <w:tc>
          <w:tcPr>
            <w:tcW w:w="6912" w:type="dxa"/>
          </w:tcPr>
          <w:p w14:paraId="59F9B07A" w14:textId="77777777" w:rsidR="00F534FB" w:rsidRDefault="00F534FB" w:rsidP="00FF7763"/>
        </w:tc>
      </w:tr>
      <w:tr w:rsidR="00F534FB" w14:paraId="2370CCA7" w14:textId="77777777" w:rsidTr="00FF7763">
        <w:tc>
          <w:tcPr>
            <w:tcW w:w="2376" w:type="dxa"/>
          </w:tcPr>
          <w:p w14:paraId="63DBF8DD" w14:textId="77777777" w:rsidR="00F534FB" w:rsidRDefault="00F534FB" w:rsidP="00FF7763">
            <w:r>
              <w:t>Fecha de la versión:</w:t>
            </w:r>
          </w:p>
        </w:tc>
        <w:tc>
          <w:tcPr>
            <w:tcW w:w="6912" w:type="dxa"/>
          </w:tcPr>
          <w:p w14:paraId="08E71081" w14:textId="77777777" w:rsidR="00F534FB" w:rsidRDefault="00F534FB" w:rsidP="00FF7763"/>
        </w:tc>
      </w:tr>
      <w:tr w:rsidR="00F534FB" w14:paraId="11998DAC" w14:textId="77777777" w:rsidTr="00FF7763">
        <w:tc>
          <w:tcPr>
            <w:tcW w:w="2376" w:type="dxa"/>
          </w:tcPr>
          <w:p w14:paraId="3967E774" w14:textId="77777777" w:rsidR="00F534FB" w:rsidRDefault="00F534FB" w:rsidP="00FF7763">
            <w:r>
              <w:t>Creado por:</w:t>
            </w:r>
          </w:p>
        </w:tc>
        <w:tc>
          <w:tcPr>
            <w:tcW w:w="6912" w:type="dxa"/>
          </w:tcPr>
          <w:p w14:paraId="62271D3D" w14:textId="77777777" w:rsidR="00F534FB" w:rsidRDefault="00F534FB" w:rsidP="00FF7763"/>
        </w:tc>
      </w:tr>
      <w:tr w:rsidR="00F534FB" w14:paraId="0A2CC0A6" w14:textId="77777777" w:rsidTr="00FF7763">
        <w:tc>
          <w:tcPr>
            <w:tcW w:w="2376" w:type="dxa"/>
          </w:tcPr>
          <w:p w14:paraId="4ADCB129" w14:textId="77777777" w:rsidR="00F534FB" w:rsidRDefault="00F534FB" w:rsidP="00FF7763">
            <w:r>
              <w:t>Aprobado por:</w:t>
            </w:r>
          </w:p>
        </w:tc>
        <w:tc>
          <w:tcPr>
            <w:tcW w:w="6912" w:type="dxa"/>
          </w:tcPr>
          <w:p w14:paraId="0F855C25" w14:textId="77777777" w:rsidR="00F534FB" w:rsidRDefault="00F534FB" w:rsidP="00FF7763"/>
        </w:tc>
      </w:tr>
      <w:tr w:rsidR="00F534FB" w14:paraId="0EB80512" w14:textId="77777777" w:rsidTr="00FF7763">
        <w:tc>
          <w:tcPr>
            <w:tcW w:w="2376" w:type="dxa"/>
          </w:tcPr>
          <w:p w14:paraId="71E76589" w14:textId="77777777" w:rsidR="00F534FB" w:rsidRDefault="00F534FB" w:rsidP="00FF7763">
            <w:r>
              <w:t>Nivel de confidencialidad:</w:t>
            </w:r>
          </w:p>
        </w:tc>
        <w:tc>
          <w:tcPr>
            <w:tcW w:w="6912" w:type="dxa"/>
          </w:tcPr>
          <w:p w14:paraId="552F32AD" w14:textId="77777777" w:rsidR="00F534FB" w:rsidRDefault="00F534FB" w:rsidP="00FF7763"/>
        </w:tc>
      </w:tr>
    </w:tbl>
    <w:p w14:paraId="44A73E6F" w14:textId="77777777" w:rsidR="00F534FB" w:rsidRDefault="00F534FB" w:rsidP="00F534FB"/>
    <w:p w14:paraId="38C7393D" w14:textId="77777777" w:rsidR="00DA219C" w:rsidRDefault="00DA219C" w:rsidP="00DA219C"/>
    <w:p w14:paraId="15E77815" w14:textId="4DEBAAE8" w:rsidR="003A1FE5" w:rsidRPr="00A869EF" w:rsidRDefault="00DA219C" w:rsidP="00DA219C">
      <w:pPr>
        <w:rPr>
          <w:b/>
          <w:sz w:val="28"/>
          <w:szCs w:val="28"/>
        </w:rPr>
      </w:pPr>
      <w:r>
        <w:br w:type="page"/>
      </w:r>
    </w:p>
    <w:p w14:paraId="6BF687F5" w14:textId="1C8171A3" w:rsidR="003A1FE5" w:rsidRPr="00A869EF" w:rsidRDefault="003A1FE5" w:rsidP="003A1FE5">
      <w:pPr>
        <w:rPr>
          <w:b/>
          <w:sz w:val="28"/>
          <w:szCs w:val="28"/>
        </w:rPr>
      </w:pP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3A1FE5" w:rsidRPr="00A869EF" w14:paraId="3A54EF8F" w14:textId="77777777" w:rsidTr="003A1FE5">
        <w:tc>
          <w:tcPr>
            <w:tcW w:w="1384" w:type="dxa"/>
          </w:tcPr>
          <w:p w14:paraId="6BCAA309" w14:textId="77777777" w:rsidR="003A1FE5" w:rsidRPr="00A869EF" w:rsidRDefault="003A1FE5" w:rsidP="003A1FE5">
            <w:pPr>
              <w:rPr>
                <w:b/>
              </w:rPr>
            </w:pPr>
            <w:r>
              <w:rPr>
                <w:b/>
              </w:rPr>
              <w:t>Fecha</w:t>
            </w:r>
          </w:p>
        </w:tc>
        <w:tc>
          <w:tcPr>
            <w:tcW w:w="992" w:type="dxa"/>
          </w:tcPr>
          <w:p w14:paraId="57DD72CD" w14:textId="77777777" w:rsidR="003A1FE5" w:rsidRPr="00A869EF" w:rsidRDefault="003A1FE5" w:rsidP="003A1FE5">
            <w:pPr>
              <w:rPr>
                <w:b/>
              </w:rPr>
            </w:pPr>
            <w:r>
              <w:rPr>
                <w:b/>
              </w:rPr>
              <w:t>Versión</w:t>
            </w:r>
          </w:p>
        </w:tc>
        <w:tc>
          <w:tcPr>
            <w:tcW w:w="1560" w:type="dxa"/>
          </w:tcPr>
          <w:p w14:paraId="6589F6EA" w14:textId="77777777" w:rsidR="003A1FE5" w:rsidRPr="00A869EF" w:rsidRDefault="003A1FE5" w:rsidP="003A1FE5">
            <w:pPr>
              <w:rPr>
                <w:b/>
              </w:rPr>
            </w:pPr>
            <w:r>
              <w:rPr>
                <w:b/>
              </w:rPr>
              <w:t>Creado por</w:t>
            </w:r>
          </w:p>
        </w:tc>
        <w:tc>
          <w:tcPr>
            <w:tcW w:w="5352" w:type="dxa"/>
          </w:tcPr>
          <w:p w14:paraId="78D2640B" w14:textId="38DFE9EF" w:rsidR="003A1FE5" w:rsidRPr="00A869EF" w:rsidRDefault="007A4854" w:rsidP="003A1FE5">
            <w:pPr>
              <w:rPr>
                <w:b/>
              </w:rPr>
            </w:pPr>
            <w:r w:rsidRPr="00503E3A">
              <w:rPr>
                <w:b/>
              </w:rPr>
              <w:t>Descripción del cambio</w:t>
            </w:r>
          </w:p>
        </w:tc>
      </w:tr>
      <w:tr w:rsidR="003A1FE5" w:rsidRPr="00A869EF" w14:paraId="2556C4E0" w14:textId="77777777" w:rsidTr="003A1FE5">
        <w:tc>
          <w:tcPr>
            <w:tcW w:w="1384" w:type="dxa"/>
          </w:tcPr>
          <w:p w14:paraId="67771AA3" w14:textId="1982A65F" w:rsidR="003A1FE5" w:rsidRPr="00A869EF" w:rsidRDefault="007A4854" w:rsidP="003A1FE5">
            <w:proofErr w:type="spellStart"/>
            <w:r w:rsidRPr="00503E3A">
              <w:t>dd.mm.aaaa</w:t>
            </w:r>
            <w:proofErr w:type="spellEnd"/>
          </w:p>
        </w:tc>
        <w:tc>
          <w:tcPr>
            <w:tcW w:w="992" w:type="dxa"/>
          </w:tcPr>
          <w:p w14:paraId="5F45C950" w14:textId="77777777" w:rsidR="003A1FE5" w:rsidRPr="00A869EF" w:rsidRDefault="003A1FE5" w:rsidP="003A1FE5">
            <w:r>
              <w:t>0.1</w:t>
            </w:r>
          </w:p>
        </w:tc>
        <w:tc>
          <w:tcPr>
            <w:tcW w:w="1560" w:type="dxa"/>
          </w:tcPr>
          <w:p w14:paraId="1348E3B2" w14:textId="41110A26" w:rsidR="003A1FE5" w:rsidRPr="00A869EF" w:rsidRDefault="007A4854" w:rsidP="003A1FE5">
            <w:r w:rsidRPr="007A4854">
              <w:t>EUGDPRAcademy</w:t>
            </w:r>
          </w:p>
        </w:tc>
        <w:tc>
          <w:tcPr>
            <w:tcW w:w="5352" w:type="dxa"/>
          </w:tcPr>
          <w:p w14:paraId="6E53F123" w14:textId="77777777" w:rsidR="003A1FE5" w:rsidRPr="00A869EF" w:rsidRDefault="003A1FE5" w:rsidP="003A1FE5">
            <w:r>
              <w:t>Descripción básica del documento</w:t>
            </w:r>
          </w:p>
        </w:tc>
      </w:tr>
      <w:tr w:rsidR="003A1FE5" w:rsidRPr="00A869EF" w14:paraId="62487798" w14:textId="77777777" w:rsidTr="003A1FE5">
        <w:tc>
          <w:tcPr>
            <w:tcW w:w="1384" w:type="dxa"/>
          </w:tcPr>
          <w:p w14:paraId="0CCB9447" w14:textId="77777777" w:rsidR="003A1FE5" w:rsidRPr="00A869EF" w:rsidRDefault="003A1FE5" w:rsidP="003A1FE5"/>
        </w:tc>
        <w:tc>
          <w:tcPr>
            <w:tcW w:w="992" w:type="dxa"/>
          </w:tcPr>
          <w:p w14:paraId="79042588" w14:textId="77777777" w:rsidR="003A1FE5" w:rsidRPr="00A869EF" w:rsidRDefault="003A1FE5" w:rsidP="003A1FE5"/>
        </w:tc>
        <w:tc>
          <w:tcPr>
            <w:tcW w:w="1560" w:type="dxa"/>
          </w:tcPr>
          <w:p w14:paraId="2F20C606" w14:textId="77777777" w:rsidR="003A1FE5" w:rsidRPr="00A869EF" w:rsidRDefault="003A1FE5" w:rsidP="003A1FE5"/>
        </w:tc>
        <w:tc>
          <w:tcPr>
            <w:tcW w:w="5352" w:type="dxa"/>
          </w:tcPr>
          <w:p w14:paraId="17599226" w14:textId="77777777" w:rsidR="003A1FE5" w:rsidRPr="00A869EF" w:rsidRDefault="003A1FE5" w:rsidP="003A1FE5"/>
        </w:tc>
      </w:tr>
      <w:tr w:rsidR="003A1FE5" w:rsidRPr="00A869EF" w14:paraId="5B6ADD46" w14:textId="77777777" w:rsidTr="003A1FE5">
        <w:tc>
          <w:tcPr>
            <w:tcW w:w="1384" w:type="dxa"/>
          </w:tcPr>
          <w:p w14:paraId="1121007A" w14:textId="77777777" w:rsidR="003A1FE5" w:rsidRPr="00A869EF" w:rsidRDefault="003A1FE5" w:rsidP="003A1FE5"/>
        </w:tc>
        <w:tc>
          <w:tcPr>
            <w:tcW w:w="992" w:type="dxa"/>
          </w:tcPr>
          <w:p w14:paraId="3A1BFE45" w14:textId="77777777" w:rsidR="003A1FE5" w:rsidRPr="00A869EF" w:rsidRDefault="003A1FE5" w:rsidP="003A1FE5"/>
        </w:tc>
        <w:tc>
          <w:tcPr>
            <w:tcW w:w="1560" w:type="dxa"/>
          </w:tcPr>
          <w:p w14:paraId="5EF66E83" w14:textId="77777777" w:rsidR="003A1FE5" w:rsidRPr="00A869EF" w:rsidRDefault="003A1FE5" w:rsidP="003A1FE5"/>
        </w:tc>
        <w:tc>
          <w:tcPr>
            <w:tcW w:w="5352" w:type="dxa"/>
          </w:tcPr>
          <w:p w14:paraId="2EFA8270" w14:textId="77777777" w:rsidR="003A1FE5" w:rsidRPr="00A869EF" w:rsidRDefault="003A1FE5" w:rsidP="003A1FE5"/>
        </w:tc>
      </w:tr>
      <w:tr w:rsidR="003A1FE5" w:rsidRPr="00A869EF" w14:paraId="78039ECA" w14:textId="77777777" w:rsidTr="003A1FE5">
        <w:tc>
          <w:tcPr>
            <w:tcW w:w="1384" w:type="dxa"/>
          </w:tcPr>
          <w:p w14:paraId="2DB7B76C" w14:textId="77777777" w:rsidR="003A1FE5" w:rsidRPr="00A869EF" w:rsidRDefault="003A1FE5" w:rsidP="003A1FE5"/>
        </w:tc>
        <w:tc>
          <w:tcPr>
            <w:tcW w:w="992" w:type="dxa"/>
          </w:tcPr>
          <w:p w14:paraId="7C0480C6" w14:textId="77777777" w:rsidR="003A1FE5" w:rsidRPr="00A869EF" w:rsidRDefault="003A1FE5" w:rsidP="003A1FE5"/>
        </w:tc>
        <w:tc>
          <w:tcPr>
            <w:tcW w:w="1560" w:type="dxa"/>
          </w:tcPr>
          <w:p w14:paraId="53CD2443" w14:textId="77777777" w:rsidR="003A1FE5" w:rsidRPr="00A869EF" w:rsidRDefault="003A1FE5" w:rsidP="003A1FE5"/>
        </w:tc>
        <w:tc>
          <w:tcPr>
            <w:tcW w:w="5352" w:type="dxa"/>
          </w:tcPr>
          <w:p w14:paraId="7FF513C0" w14:textId="77777777" w:rsidR="003A1FE5" w:rsidRPr="00A869EF" w:rsidRDefault="003A1FE5" w:rsidP="003A1FE5"/>
        </w:tc>
      </w:tr>
      <w:tr w:rsidR="003A1FE5" w:rsidRPr="00A869EF" w14:paraId="4AACDC98" w14:textId="77777777" w:rsidTr="003A1FE5">
        <w:tc>
          <w:tcPr>
            <w:tcW w:w="1384" w:type="dxa"/>
          </w:tcPr>
          <w:p w14:paraId="3DEF96E8" w14:textId="77777777" w:rsidR="003A1FE5" w:rsidRPr="00A869EF" w:rsidRDefault="003A1FE5" w:rsidP="003A1FE5"/>
        </w:tc>
        <w:tc>
          <w:tcPr>
            <w:tcW w:w="992" w:type="dxa"/>
          </w:tcPr>
          <w:p w14:paraId="2B7D0EEF" w14:textId="77777777" w:rsidR="003A1FE5" w:rsidRPr="00A869EF" w:rsidRDefault="003A1FE5" w:rsidP="003A1FE5"/>
        </w:tc>
        <w:tc>
          <w:tcPr>
            <w:tcW w:w="1560" w:type="dxa"/>
          </w:tcPr>
          <w:p w14:paraId="77B2B9B1" w14:textId="77777777" w:rsidR="003A1FE5" w:rsidRPr="00A869EF" w:rsidRDefault="003A1FE5" w:rsidP="003A1FE5"/>
        </w:tc>
        <w:tc>
          <w:tcPr>
            <w:tcW w:w="5352" w:type="dxa"/>
          </w:tcPr>
          <w:p w14:paraId="1E8AB776" w14:textId="77777777" w:rsidR="003A1FE5" w:rsidRPr="00A869EF" w:rsidRDefault="003A1FE5" w:rsidP="003A1FE5"/>
        </w:tc>
      </w:tr>
      <w:tr w:rsidR="003A1FE5" w:rsidRPr="00A869EF" w14:paraId="67C2E268" w14:textId="77777777" w:rsidTr="003A1FE5">
        <w:tc>
          <w:tcPr>
            <w:tcW w:w="1384" w:type="dxa"/>
          </w:tcPr>
          <w:p w14:paraId="64978BEF" w14:textId="77777777" w:rsidR="003A1FE5" w:rsidRPr="00A869EF" w:rsidRDefault="003A1FE5" w:rsidP="003A1FE5"/>
        </w:tc>
        <w:tc>
          <w:tcPr>
            <w:tcW w:w="992" w:type="dxa"/>
          </w:tcPr>
          <w:p w14:paraId="24E02C10" w14:textId="77777777" w:rsidR="003A1FE5" w:rsidRPr="00A869EF" w:rsidRDefault="003A1FE5" w:rsidP="003A1FE5"/>
        </w:tc>
        <w:tc>
          <w:tcPr>
            <w:tcW w:w="1560" w:type="dxa"/>
          </w:tcPr>
          <w:p w14:paraId="47072C4B" w14:textId="77777777" w:rsidR="003A1FE5" w:rsidRPr="00A869EF" w:rsidRDefault="003A1FE5" w:rsidP="003A1FE5"/>
        </w:tc>
        <w:tc>
          <w:tcPr>
            <w:tcW w:w="5352" w:type="dxa"/>
          </w:tcPr>
          <w:p w14:paraId="793B01D9" w14:textId="77777777" w:rsidR="003A1FE5" w:rsidRPr="00A869EF" w:rsidRDefault="003A1FE5" w:rsidP="003A1FE5"/>
        </w:tc>
      </w:tr>
      <w:tr w:rsidR="003A1FE5" w:rsidRPr="00A869EF" w14:paraId="5FE321DE" w14:textId="77777777" w:rsidTr="003A1FE5">
        <w:tc>
          <w:tcPr>
            <w:tcW w:w="1384" w:type="dxa"/>
          </w:tcPr>
          <w:p w14:paraId="3A74A44C" w14:textId="77777777" w:rsidR="003A1FE5" w:rsidRPr="00A869EF" w:rsidRDefault="003A1FE5" w:rsidP="003A1FE5"/>
        </w:tc>
        <w:tc>
          <w:tcPr>
            <w:tcW w:w="992" w:type="dxa"/>
          </w:tcPr>
          <w:p w14:paraId="27CFBC65" w14:textId="77777777" w:rsidR="003A1FE5" w:rsidRPr="00A869EF" w:rsidRDefault="003A1FE5" w:rsidP="003A1FE5"/>
        </w:tc>
        <w:tc>
          <w:tcPr>
            <w:tcW w:w="1560" w:type="dxa"/>
          </w:tcPr>
          <w:p w14:paraId="677B3ECA" w14:textId="77777777" w:rsidR="003A1FE5" w:rsidRPr="00A869EF" w:rsidRDefault="003A1FE5" w:rsidP="003A1FE5"/>
        </w:tc>
        <w:tc>
          <w:tcPr>
            <w:tcW w:w="5352" w:type="dxa"/>
          </w:tcPr>
          <w:p w14:paraId="7E24ABE3" w14:textId="77777777" w:rsidR="003A1FE5" w:rsidRPr="00A869EF" w:rsidRDefault="003A1FE5" w:rsidP="003A1FE5"/>
        </w:tc>
      </w:tr>
    </w:tbl>
    <w:p w14:paraId="27972BF9" w14:textId="77777777" w:rsidR="003A1FE5" w:rsidRPr="00A869EF" w:rsidRDefault="003A1FE5" w:rsidP="003A1FE5"/>
    <w:p w14:paraId="6D7EBFA1" w14:textId="77777777" w:rsidR="003A1FE5" w:rsidRPr="00A869EF" w:rsidRDefault="003A1FE5" w:rsidP="003A1FE5"/>
    <w:p w14:paraId="328A6AF7" w14:textId="636D1A79" w:rsidR="003A1FE5" w:rsidRPr="00A869EF" w:rsidRDefault="003A1FE5" w:rsidP="003A1FE5">
      <w:pPr>
        <w:rPr>
          <w:b/>
          <w:sz w:val="28"/>
          <w:szCs w:val="28"/>
        </w:rPr>
      </w:pPr>
      <w:r>
        <w:rPr>
          <w:b/>
          <w:sz w:val="28"/>
        </w:rPr>
        <w:t>Tabla de contenido</w:t>
      </w:r>
    </w:p>
    <w:p w14:paraId="145790E8" w14:textId="77777777" w:rsidR="00225549"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r w:rsidRPr="00A869EF">
        <w:fldChar w:fldCharType="begin"/>
      </w:r>
      <w:r w:rsidR="00C0319F" w:rsidRPr="00A869EF">
        <w:instrText xml:space="preserve"> TOC \o "1-3" \h \z \u </w:instrText>
      </w:r>
      <w:r w:rsidRPr="00A869EF">
        <w:fldChar w:fldCharType="separate"/>
      </w:r>
      <w:hyperlink w:anchor="_Toc416260216" w:history="1">
        <w:r w:rsidR="00225549" w:rsidRPr="006A78E7">
          <w:rPr>
            <w:rStyle w:val="Hyperlink"/>
            <w:noProof/>
          </w:rPr>
          <w:t>1.</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Objetivo, alcance y usuarios</w:t>
        </w:r>
        <w:r w:rsidR="00225549">
          <w:rPr>
            <w:noProof/>
            <w:webHidden/>
          </w:rPr>
          <w:tab/>
        </w:r>
        <w:r w:rsidR="00225549">
          <w:rPr>
            <w:noProof/>
            <w:webHidden/>
          </w:rPr>
          <w:fldChar w:fldCharType="begin"/>
        </w:r>
        <w:r w:rsidR="00225549">
          <w:rPr>
            <w:noProof/>
            <w:webHidden/>
          </w:rPr>
          <w:instrText xml:space="preserve"> PAGEREF _Toc416260216 \h </w:instrText>
        </w:r>
        <w:r w:rsidR="00225549">
          <w:rPr>
            <w:noProof/>
            <w:webHidden/>
          </w:rPr>
        </w:r>
        <w:r w:rsidR="00225549">
          <w:rPr>
            <w:noProof/>
            <w:webHidden/>
          </w:rPr>
          <w:fldChar w:fldCharType="separate"/>
        </w:r>
        <w:r w:rsidR="00225549">
          <w:rPr>
            <w:noProof/>
            <w:webHidden/>
          </w:rPr>
          <w:t>3</w:t>
        </w:r>
        <w:r w:rsidR="00225549">
          <w:rPr>
            <w:noProof/>
            <w:webHidden/>
          </w:rPr>
          <w:fldChar w:fldCharType="end"/>
        </w:r>
      </w:hyperlink>
    </w:p>
    <w:p w14:paraId="7E5ED517" w14:textId="77777777" w:rsidR="00225549" w:rsidRDefault="005D56A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17" w:history="1">
        <w:r w:rsidR="00225549" w:rsidRPr="006A78E7">
          <w:rPr>
            <w:rStyle w:val="Hyperlink"/>
            <w:noProof/>
          </w:rPr>
          <w:t>2.</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Premisas y limitaciones</w:t>
        </w:r>
        <w:r w:rsidR="00225549">
          <w:rPr>
            <w:noProof/>
            <w:webHidden/>
          </w:rPr>
          <w:tab/>
        </w:r>
        <w:r w:rsidR="00225549">
          <w:rPr>
            <w:noProof/>
            <w:webHidden/>
          </w:rPr>
          <w:fldChar w:fldCharType="begin"/>
        </w:r>
        <w:r w:rsidR="00225549">
          <w:rPr>
            <w:noProof/>
            <w:webHidden/>
          </w:rPr>
          <w:instrText xml:space="preserve"> PAGEREF _Toc416260217 \h </w:instrText>
        </w:r>
        <w:r w:rsidR="00225549">
          <w:rPr>
            <w:noProof/>
            <w:webHidden/>
          </w:rPr>
        </w:r>
        <w:r w:rsidR="00225549">
          <w:rPr>
            <w:noProof/>
            <w:webHidden/>
          </w:rPr>
          <w:fldChar w:fldCharType="separate"/>
        </w:r>
        <w:r w:rsidR="00225549">
          <w:rPr>
            <w:noProof/>
            <w:webHidden/>
          </w:rPr>
          <w:t>3</w:t>
        </w:r>
        <w:r w:rsidR="00225549">
          <w:rPr>
            <w:noProof/>
            <w:webHidden/>
          </w:rPr>
          <w:fldChar w:fldCharType="end"/>
        </w:r>
      </w:hyperlink>
    </w:p>
    <w:p w14:paraId="1721D822" w14:textId="77777777" w:rsidR="00225549" w:rsidRDefault="005D56A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18" w:history="1">
        <w:r w:rsidR="00225549" w:rsidRPr="006A78E7">
          <w:rPr>
            <w:rStyle w:val="Hyperlink"/>
            <w:noProof/>
          </w:rPr>
          <w:t>3.</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Información general</w:t>
        </w:r>
        <w:r w:rsidR="00225549">
          <w:rPr>
            <w:noProof/>
            <w:webHidden/>
          </w:rPr>
          <w:tab/>
        </w:r>
        <w:r w:rsidR="00225549">
          <w:rPr>
            <w:noProof/>
            <w:webHidden/>
          </w:rPr>
          <w:fldChar w:fldCharType="begin"/>
        </w:r>
        <w:r w:rsidR="00225549">
          <w:rPr>
            <w:noProof/>
            <w:webHidden/>
          </w:rPr>
          <w:instrText xml:space="preserve"> PAGEREF _Toc416260218 \h </w:instrText>
        </w:r>
        <w:r w:rsidR="00225549">
          <w:rPr>
            <w:noProof/>
            <w:webHidden/>
          </w:rPr>
        </w:r>
        <w:r w:rsidR="00225549">
          <w:rPr>
            <w:noProof/>
            <w:webHidden/>
          </w:rPr>
          <w:fldChar w:fldCharType="separate"/>
        </w:r>
        <w:r w:rsidR="00225549">
          <w:rPr>
            <w:noProof/>
            <w:webHidden/>
          </w:rPr>
          <w:t>3</w:t>
        </w:r>
        <w:r w:rsidR="00225549">
          <w:rPr>
            <w:noProof/>
            <w:webHidden/>
          </w:rPr>
          <w:fldChar w:fldCharType="end"/>
        </w:r>
      </w:hyperlink>
    </w:p>
    <w:p w14:paraId="086D3EBC" w14:textId="77777777" w:rsidR="00225549" w:rsidRDefault="005D56A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19" w:history="1">
        <w:r w:rsidR="00225549" w:rsidRPr="006A78E7">
          <w:rPr>
            <w:rStyle w:val="Hyperlink"/>
            <w:noProof/>
          </w:rPr>
          <w:t>4.</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Funciones e información de contacto</w:t>
        </w:r>
        <w:r w:rsidR="00225549">
          <w:rPr>
            <w:noProof/>
            <w:webHidden/>
          </w:rPr>
          <w:tab/>
        </w:r>
        <w:r w:rsidR="00225549">
          <w:rPr>
            <w:noProof/>
            <w:webHidden/>
          </w:rPr>
          <w:fldChar w:fldCharType="begin"/>
        </w:r>
        <w:r w:rsidR="00225549">
          <w:rPr>
            <w:noProof/>
            <w:webHidden/>
          </w:rPr>
          <w:instrText xml:space="preserve"> PAGEREF _Toc416260219 \h </w:instrText>
        </w:r>
        <w:r w:rsidR="00225549">
          <w:rPr>
            <w:noProof/>
            <w:webHidden/>
          </w:rPr>
        </w:r>
        <w:r w:rsidR="00225549">
          <w:rPr>
            <w:noProof/>
            <w:webHidden/>
          </w:rPr>
          <w:fldChar w:fldCharType="separate"/>
        </w:r>
        <w:r w:rsidR="00225549">
          <w:rPr>
            <w:noProof/>
            <w:webHidden/>
          </w:rPr>
          <w:t>4</w:t>
        </w:r>
        <w:r w:rsidR="00225549">
          <w:rPr>
            <w:noProof/>
            <w:webHidden/>
          </w:rPr>
          <w:fldChar w:fldCharType="end"/>
        </w:r>
      </w:hyperlink>
    </w:p>
    <w:p w14:paraId="620C767B" w14:textId="77777777" w:rsidR="00225549" w:rsidRDefault="005D56A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0" w:history="1">
        <w:r w:rsidR="00225549" w:rsidRPr="006A78E7">
          <w:rPr>
            <w:rStyle w:val="Hyperlink"/>
            <w:noProof/>
          </w:rPr>
          <w:t>5.</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Autorizaciones en una crisis</w:t>
        </w:r>
        <w:r w:rsidR="00225549">
          <w:rPr>
            <w:noProof/>
            <w:webHidden/>
          </w:rPr>
          <w:tab/>
        </w:r>
        <w:r w:rsidR="00225549">
          <w:rPr>
            <w:noProof/>
            <w:webHidden/>
          </w:rPr>
          <w:fldChar w:fldCharType="begin"/>
        </w:r>
        <w:r w:rsidR="00225549">
          <w:rPr>
            <w:noProof/>
            <w:webHidden/>
          </w:rPr>
          <w:instrText xml:space="preserve"> PAGEREF _Toc416260220 \h </w:instrText>
        </w:r>
        <w:r w:rsidR="00225549">
          <w:rPr>
            <w:noProof/>
            <w:webHidden/>
          </w:rPr>
        </w:r>
        <w:r w:rsidR="00225549">
          <w:rPr>
            <w:noProof/>
            <w:webHidden/>
          </w:rPr>
          <w:fldChar w:fldCharType="separate"/>
        </w:r>
        <w:r w:rsidR="00225549">
          <w:rPr>
            <w:noProof/>
            <w:webHidden/>
          </w:rPr>
          <w:t>5</w:t>
        </w:r>
        <w:r w:rsidR="00225549">
          <w:rPr>
            <w:noProof/>
            <w:webHidden/>
          </w:rPr>
          <w:fldChar w:fldCharType="end"/>
        </w:r>
      </w:hyperlink>
    </w:p>
    <w:p w14:paraId="132A31C4" w14:textId="77777777" w:rsidR="00225549" w:rsidRDefault="005D56A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1" w:history="1">
        <w:r w:rsidR="00225549" w:rsidRPr="006A78E7">
          <w:rPr>
            <w:rStyle w:val="Hyperlink"/>
            <w:noProof/>
          </w:rPr>
          <w:t>6.</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Recursos necesarios</w:t>
        </w:r>
        <w:r w:rsidR="00225549">
          <w:rPr>
            <w:noProof/>
            <w:webHidden/>
          </w:rPr>
          <w:tab/>
        </w:r>
        <w:r w:rsidR="00225549">
          <w:rPr>
            <w:noProof/>
            <w:webHidden/>
          </w:rPr>
          <w:fldChar w:fldCharType="begin"/>
        </w:r>
        <w:r w:rsidR="00225549">
          <w:rPr>
            <w:noProof/>
            <w:webHidden/>
          </w:rPr>
          <w:instrText xml:space="preserve"> PAGEREF _Toc416260221 \h </w:instrText>
        </w:r>
        <w:r w:rsidR="00225549">
          <w:rPr>
            <w:noProof/>
            <w:webHidden/>
          </w:rPr>
        </w:r>
        <w:r w:rsidR="00225549">
          <w:rPr>
            <w:noProof/>
            <w:webHidden/>
          </w:rPr>
          <w:fldChar w:fldCharType="separate"/>
        </w:r>
        <w:r w:rsidR="00225549">
          <w:rPr>
            <w:noProof/>
            <w:webHidden/>
          </w:rPr>
          <w:t>5</w:t>
        </w:r>
        <w:r w:rsidR="00225549">
          <w:rPr>
            <w:noProof/>
            <w:webHidden/>
          </w:rPr>
          <w:fldChar w:fldCharType="end"/>
        </w:r>
      </w:hyperlink>
    </w:p>
    <w:p w14:paraId="54C3E0F4" w14:textId="77777777" w:rsidR="00225549" w:rsidRDefault="005D56A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2" w:history="1">
        <w:r w:rsidR="00225549" w:rsidRPr="006A78E7">
          <w:rPr>
            <w:rStyle w:val="Hyperlink"/>
            <w:noProof/>
          </w:rPr>
          <w:t>7.</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Pasos de recuperación para la infraestructura y los servicios de TI</w:t>
        </w:r>
        <w:r w:rsidR="00225549">
          <w:rPr>
            <w:noProof/>
            <w:webHidden/>
          </w:rPr>
          <w:tab/>
        </w:r>
        <w:r w:rsidR="00225549">
          <w:rPr>
            <w:noProof/>
            <w:webHidden/>
          </w:rPr>
          <w:fldChar w:fldCharType="begin"/>
        </w:r>
        <w:r w:rsidR="00225549">
          <w:rPr>
            <w:noProof/>
            <w:webHidden/>
          </w:rPr>
          <w:instrText xml:space="preserve"> PAGEREF _Toc416260222 \h </w:instrText>
        </w:r>
        <w:r w:rsidR="00225549">
          <w:rPr>
            <w:noProof/>
            <w:webHidden/>
          </w:rPr>
        </w:r>
        <w:r w:rsidR="00225549">
          <w:rPr>
            <w:noProof/>
            <w:webHidden/>
          </w:rPr>
          <w:fldChar w:fldCharType="separate"/>
        </w:r>
        <w:r w:rsidR="00225549">
          <w:rPr>
            <w:noProof/>
            <w:webHidden/>
          </w:rPr>
          <w:t>6</w:t>
        </w:r>
        <w:r w:rsidR="00225549">
          <w:rPr>
            <w:noProof/>
            <w:webHidden/>
          </w:rPr>
          <w:fldChar w:fldCharType="end"/>
        </w:r>
      </w:hyperlink>
    </w:p>
    <w:p w14:paraId="7999C5AE" w14:textId="77777777" w:rsidR="00225549" w:rsidRDefault="005D56A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3" w:history="1">
        <w:r w:rsidR="00225549" w:rsidRPr="006A78E7">
          <w:rPr>
            <w:rStyle w:val="Hyperlink"/>
            <w:noProof/>
          </w:rPr>
          <w:t>8.</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Gestión de registros guardados en base a este documento</w:t>
        </w:r>
        <w:r w:rsidR="00225549">
          <w:rPr>
            <w:noProof/>
            <w:webHidden/>
          </w:rPr>
          <w:tab/>
        </w:r>
        <w:r w:rsidR="00225549">
          <w:rPr>
            <w:noProof/>
            <w:webHidden/>
          </w:rPr>
          <w:fldChar w:fldCharType="begin"/>
        </w:r>
        <w:r w:rsidR="00225549">
          <w:rPr>
            <w:noProof/>
            <w:webHidden/>
          </w:rPr>
          <w:instrText xml:space="preserve"> PAGEREF _Toc416260223 \h </w:instrText>
        </w:r>
        <w:r w:rsidR="00225549">
          <w:rPr>
            <w:noProof/>
            <w:webHidden/>
          </w:rPr>
        </w:r>
        <w:r w:rsidR="00225549">
          <w:rPr>
            <w:noProof/>
            <w:webHidden/>
          </w:rPr>
          <w:fldChar w:fldCharType="separate"/>
        </w:r>
        <w:r w:rsidR="00225549">
          <w:rPr>
            <w:noProof/>
            <w:webHidden/>
          </w:rPr>
          <w:t>7</w:t>
        </w:r>
        <w:r w:rsidR="00225549">
          <w:rPr>
            <w:noProof/>
            <w:webHidden/>
          </w:rPr>
          <w:fldChar w:fldCharType="end"/>
        </w:r>
      </w:hyperlink>
    </w:p>
    <w:p w14:paraId="1B41AAA3" w14:textId="77777777" w:rsidR="00225549" w:rsidRDefault="005D56A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4" w:history="1">
        <w:r w:rsidR="00225549" w:rsidRPr="006A78E7">
          <w:rPr>
            <w:rStyle w:val="Hyperlink"/>
            <w:noProof/>
          </w:rPr>
          <w:t>9.</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Validez y gestión de documentos</w:t>
        </w:r>
        <w:r w:rsidR="00225549">
          <w:rPr>
            <w:noProof/>
            <w:webHidden/>
          </w:rPr>
          <w:tab/>
        </w:r>
        <w:r w:rsidR="00225549">
          <w:rPr>
            <w:noProof/>
            <w:webHidden/>
          </w:rPr>
          <w:fldChar w:fldCharType="begin"/>
        </w:r>
        <w:r w:rsidR="00225549">
          <w:rPr>
            <w:noProof/>
            <w:webHidden/>
          </w:rPr>
          <w:instrText xml:space="preserve"> PAGEREF _Toc416260224 \h </w:instrText>
        </w:r>
        <w:r w:rsidR="00225549">
          <w:rPr>
            <w:noProof/>
            <w:webHidden/>
          </w:rPr>
        </w:r>
        <w:r w:rsidR="00225549">
          <w:rPr>
            <w:noProof/>
            <w:webHidden/>
          </w:rPr>
          <w:fldChar w:fldCharType="separate"/>
        </w:r>
        <w:r w:rsidR="00225549">
          <w:rPr>
            <w:noProof/>
            <w:webHidden/>
          </w:rPr>
          <w:t>7</w:t>
        </w:r>
        <w:r w:rsidR="00225549">
          <w:rPr>
            <w:noProof/>
            <w:webHidden/>
          </w:rPr>
          <w:fldChar w:fldCharType="end"/>
        </w:r>
      </w:hyperlink>
    </w:p>
    <w:p w14:paraId="413BDD72" w14:textId="77777777" w:rsidR="00225549" w:rsidRDefault="005D56A4">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5" w:history="1">
        <w:r w:rsidR="00225549" w:rsidRPr="006A78E7">
          <w:rPr>
            <w:rStyle w:val="Hyperlink"/>
            <w:noProof/>
          </w:rPr>
          <w:t>10.</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Documentos adicionales</w:t>
        </w:r>
        <w:r w:rsidR="00225549">
          <w:rPr>
            <w:noProof/>
            <w:webHidden/>
          </w:rPr>
          <w:tab/>
        </w:r>
        <w:r w:rsidR="00225549">
          <w:rPr>
            <w:noProof/>
            <w:webHidden/>
          </w:rPr>
          <w:fldChar w:fldCharType="begin"/>
        </w:r>
        <w:r w:rsidR="00225549">
          <w:rPr>
            <w:noProof/>
            <w:webHidden/>
          </w:rPr>
          <w:instrText xml:space="preserve"> PAGEREF _Toc416260225 \h </w:instrText>
        </w:r>
        <w:r w:rsidR="00225549">
          <w:rPr>
            <w:noProof/>
            <w:webHidden/>
          </w:rPr>
        </w:r>
        <w:r w:rsidR="00225549">
          <w:rPr>
            <w:noProof/>
            <w:webHidden/>
          </w:rPr>
          <w:fldChar w:fldCharType="separate"/>
        </w:r>
        <w:r w:rsidR="00225549">
          <w:rPr>
            <w:noProof/>
            <w:webHidden/>
          </w:rPr>
          <w:t>7</w:t>
        </w:r>
        <w:r w:rsidR="00225549">
          <w:rPr>
            <w:noProof/>
            <w:webHidden/>
          </w:rPr>
          <w:fldChar w:fldCharType="end"/>
        </w:r>
      </w:hyperlink>
    </w:p>
    <w:p w14:paraId="16062CB6" w14:textId="77777777" w:rsidR="00C811B3"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A869EF">
        <w:fldChar w:fldCharType="end"/>
      </w:r>
    </w:p>
    <w:p w14:paraId="0017F50B" w14:textId="77777777" w:rsidR="003A1FE5" w:rsidRPr="00A869EF" w:rsidRDefault="003A1FE5">
      <w:pPr>
        <w:pStyle w:val="TOC1"/>
        <w:tabs>
          <w:tab w:val="left" w:pos="440"/>
          <w:tab w:val="right" w:leader="dot" w:pos="9062"/>
        </w:tabs>
      </w:pPr>
    </w:p>
    <w:p w14:paraId="32205561" w14:textId="77777777" w:rsidR="003A1FE5" w:rsidRPr="00A869EF" w:rsidRDefault="003A1FE5" w:rsidP="003A1FE5">
      <w:pPr>
        <w:rPr>
          <w:b/>
          <w:sz w:val="28"/>
          <w:szCs w:val="28"/>
        </w:rPr>
      </w:pPr>
    </w:p>
    <w:p w14:paraId="1D782E6D" w14:textId="77777777" w:rsidR="003A1FE5" w:rsidRPr="00A869EF" w:rsidRDefault="003A1FE5" w:rsidP="003A1FE5">
      <w:pPr>
        <w:pStyle w:val="Heading1"/>
      </w:pPr>
      <w:r>
        <w:br w:type="page"/>
      </w:r>
      <w:bookmarkStart w:id="4" w:name="_Toc262723257"/>
      <w:bookmarkStart w:id="5" w:name="_Toc263191923"/>
      <w:bookmarkStart w:id="6" w:name="_Toc414859643"/>
      <w:bookmarkStart w:id="7" w:name="_Toc416260216"/>
      <w:r>
        <w:lastRenderedPageBreak/>
        <w:t>Objetivo, alcance y usuarios</w:t>
      </w:r>
      <w:bookmarkEnd w:id="4"/>
      <w:bookmarkEnd w:id="5"/>
      <w:bookmarkEnd w:id="6"/>
      <w:bookmarkEnd w:id="7"/>
    </w:p>
    <w:p w14:paraId="2699D7F4" w14:textId="1F846300" w:rsidR="003A1FE5" w:rsidRPr="00A869EF" w:rsidRDefault="003A1FE5" w:rsidP="003A1FE5">
      <w:r>
        <w:t>El objetivo del Plan de recuperación ante desastres es definir en forma precisa cómo [nombre de la organización]</w:t>
      </w:r>
      <w:r w:rsidR="007A4854">
        <w:t xml:space="preserve"> recuperará su infraestructura,</w:t>
      </w:r>
      <w:r>
        <w:t xml:space="preserve"> servicios de TI </w:t>
      </w:r>
      <w:r w:rsidR="007A4854" w:rsidRPr="007A4854">
        <w:t>y todos los datos (incluidos los datos personales)</w:t>
      </w:r>
      <w:r w:rsidR="007A4854">
        <w:t xml:space="preserve"> </w:t>
      </w:r>
      <w:r>
        <w:t>dentro de los plazos establecidos en el caso que ocurra un desastre o un incidente disruptivo. El objetivo de este Plan es completar la recuperación de la infrae</w:t>
      </w:r>
      <w:r w:rsidR="007A4854">
        <w:t xml:space="preserve">structura, </w:t>
      </w:r>
      <w:r>
        <w:t>de los servicios de TI</w:t>
      </w:r>
      <w:r w:rsidR="007A4854">
        <w:t xml:space="preserve"> y los datos</w:t>
      </w:r>
      <w:r>
        <w:t xml:space="preserve"> dentro del tiempo objetivo de recuperación (RTO) establecido.</w:t>
      </w:r>
    </w:p>
    <w:p w14:paraId="181AED7F" w14:textId="59754EBC" w:rsidR="003A1FE5" w:rsidRDefault="003A1FE5" w:rsidP="003A1FE5">
      <w:r>
        <w:t>Los usuarios de este documento son los miembros de la alta dirección y los empleados necesarios para la recuperación de esta actividad.</w:t>
      </w:r>
    </w:p>
    <w:p w14:paraId="166FF94D" w14:textId="77777777" w:rsidR="00225549" w:rsidRDefault="00225549" w:rsidP="003A1FE5"/>
    <w:p w14:paraId="3D93A381" w14:textId="38D4D608" w:rsidR="00273C5D" w:rsidRDefault="00273C5D" w:rsidP="00273C5D">
      <w:pPr>
        <w:pStyle w:val="Heading1"/>
      </w:pPr>
      <w:bookmarkStart w:id="8" w:name="_Toc414859644"/>
      <w:bookmarkStart w:id="9" w:name="_Toc416260217"/>
      <w:r>
        <w:t>Premisas y limitaciones</w:t>
      </w:r>
      <w:bookmarkEnd w:id="8"/>
      <w:bookmarkEnd w:id="9"/>
      <w:r>
        <w:t xml:space="preserve"> </w:t>
      </w:r>
    </w:p>
    <w:p w14:paraId="63F45059" w14:textId="50CE8E54" w:rsidR="00273C5D" w:rsidRDefault="00273C5D" w:rsidP="003A1FE5">
      <w:r>
        <w:t>Para que este plan funcione, se deben cumplir las siguientes condiciones</w:t>
      </w:r>
      <w:commentRangeStart w:id="10"/>
      <w:r>
        <w:t>:</w:t>
      </w:r>
      <w:commentRangeEnd w:id="10"/>
      <w:r w:rsidR="0030531D">
        <w:rPr>
          <w:rStyle w:val="CommentReference"/>
        </w:rPr>
        <w:commentReference w:id="10"/>
      </w:r>
    </w:p>
    <w:p w14:paraId="0EFCFD58" w14:textId="212D6686" w:rsidR="004235AE" w:rsidRPr="004235AE" w:rsidRDefault="00273C5D" w:rsidP="004235AE">
      <w:pPr>
        <w:pStyle w:val="ListParagraph"/>
        <w:numPr>
          <w:ilvl w:val="0"/>
          <w:numId w:val="13"/>
        </w:numPr>
      </w:pPr>
      <w:r>
        <w:t xml:space="preserve">Todo el equipamiento, software y datos estén </w:t>
      </w:r>
      <w:commentRangeStart w:id="11"/>
      <w:r>
        <w:t xml:space="preserve">disponibles de acuerdo a lo planificado en </w:t>
      </w:r>
      <w:commentRangeEnd w:id="11"/>
      <w:r w:rsidR="0030531D">
        <w:rPr>
          <w:rStyle w:val="CommentReference"/>
        </w:rPr>
        <w:commentReference w:id="11"/>
      </w:r>
    </w:p>
    <w:p w14:paraId="032D8E09" w14:textId="780A16D2" w:rsidR="00273C5D" w:rsidRDefault="00273C5D" w:rsidP="004235AE">
      <w:pPr>
        <w:pStyle w:val="ListParagraph"/>
        <w:numPr>
          <w:ilvl w:val="0"/>
          <w:numId w:val="13"/>
        </w:numPr>
      </w:pPr>
      <w:r>
        <w:t>Al momento de un incidente, los empleados del departamento de TI han sido trasladados a la ubicación alternativa (este es el punto de partida para el plan de recuperación ante desastres).</w:t>
      </w:r>
    </w:p>
    <w:p w14:paraId="375E22B3" w14:textId="6DEF8C89" w:rsidR="004235AE" w:rsidRDefault="004235AE" w:rsidP="004235AE">
      <w:r>
        <w:t>Este plan no contempla los siguientes tipos de incidentes:</w:t>
      </w:r>
    </w:p>
    <w:p w14:paraId="5823BBFC" w14:textId="49C78FA1" w:rsidR="004235AE" w:rsidRDefault="004235AE" w:rsidP="004235AE">
      <w:pPr>
        <w:pStyle w:val="ListParagraph"/>
        <w:numPr>
          <w:ilvl w:val="0"/>
          <w:numId w:val="14"/>
        </w:numPr>
      </w:pPr>
      <w:r>
        <w:t xml:space="preserve"> </w:t>
      </w:r>
      <w:commentRangeStart w:id="12"/>
      <w:r w:rsidR="0030531D">
        <w:t>*</w:t>
      </w:r>
      <w:commentRangeEnd w:id="12"/>
      <w:r w:rsidR="0030531D">
        <w:rPr>
          <w:rStyle w:val="CommentReference"/>
        </w:rPr>
        <w:commentReference w:id="12"/>
      </w:r>
    </w:p>
    <w:p w14:paraId="60BBBA2A" w14:textId="77777777" w:rsidR="00225549" w:rsidRPr="004235AE" w:rsidRDefault="00225549" w:rsidP="00225549"/>
    <w:p w14:paraId="5C15D25D" w14:textId="00959152" w:rsidR="003A1FE5" w:rsidRPr="00A869EF" w:rsidRDefault="003A1FE5" w:rsidP="003A1FE5">
      <w:pPr>
        <w:pStyle w:val="Heading1"/>
      </w:pPr>
      <w:bookmarkStart w:id="13" w:name="_Toc263191924"/>
      <w:bookmarkStart w:id="14" w:name="_Toc414859645"/>
      <w:bookmarkStart w:id="15" w:name="_Toc416260218"/>
      <w:r>
        <w:t xml:space="preserve">Información </w:t>
      </w:r>
      <w:bookmarkEnd w:id="13"/>
      <w:r>
        <w:t>general</w:t>
      </w:r>
      <w:bookmarkEnd w:id="14"/>
      <w:bookmarkEnd w:id="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6770"/>
      </w:tblGrid>
      <w:tr w:rsidR="004C0160" w:rsidRPr="00A869EF" w14:paraId="0A97E76A" w14:textId="77777777" w:rsidTr="003A1FE5">
        <w:tc>
          <w:tcPr>
            <w:tcW w:w="2518" w:type="dxa"/>
            <w:shd w:val="clear" w:color="auto" w:fill="D9D9D9"/>
          </w:tcPr>
          <w:p w14:paraId="02608F3D" w14:textId="74F8C0AB" w:rsidR="004C0160" w:rsidRPr="00A869EF" w:rsidRDefault="004C0160" w:rsidP="003A1FE5">
            <w:commentRangeStart w:id="16"/>
            <w:r>
              <w:t xml:space="preserve">Ubicación del sitio alternativo </w:t>
            </w:r>
            <w:commentRangeEnd w:id="16"/>
            <w:r w:rsidR="0030531D">
              <w:rPr>
                <w:rStyle w:val="CommentReference"/>
              </w:rPr>
              <w:commentReference w:id="16"/>
            </w:r>
            <w:r>
              <w:t xml:space="preserve">/ </w:t>
            </w:r>
            <w:commentRangeStart w:id="17"/>
            <w:r>
              <w:t>estrategia de recuperación</w:t>
            </w:r>
            <w:commentRangeEnd w:id="17"/>
            <w:r w:rsidR="0030531D">
              <w:rPr>
                <w:rStyle w:val="CommentReference"/>
              </w:rPr>
              <w:commentReference w:id="17"/>
            </w:r>
          </w:p>
        </w:tc>
        <w:tc>
          <w:tcPr>
            <w:tcW w:w="6770" w:type="dxa"/>
          </w:tcPr>
          <w:p w14:paraId="4D63D965" w14:textId="1EF55653" w:rsidR="004C0160" w:rsidRPr="00A869EF" w:rsidRDefault="004C0160" w:rsidP="003A1FE5">
            <w:r>
              <w:t xml:space="preserve"> </w:t>
            </w:r>
          </w:p>
        </w:tc>
      </w:tr>
      <w:tr w:rsidR="003A1FE5" w:rsidRPr="00A869EF" w14:paraId="672AA495" w14:textId="77777777" w:rsidTr="003A1FE5">
        <w:tc>
          <w:tcPr>
            <w:tcW w:w="2518" w:type="dxa"/>
            <w:shd w:val="clear" w:color="auto" w:fill="D9D9D9"/>
          </w:tcPr>
          <w:p w14:paraId="4C342096" w14:textId="77777777" w:rsidR="003A1FE5" w:rsidRPr="00A869EF" w:rsidRDefault="003A1FE5" w:rsidP="003A1FE5">
            <w:r>
              <w:t>Objetivo de tiempo de recuperación:</w:t>
            </w:r>
          </w:p>
        </w:tc>
        <w:tc>
          <w:tcPr>
            <w:tcW w:w="6770" w:type="dxa"/>
          </w:tcPr>
          <w:p w14:paraId="06D2FC6D" w14:textId="3C85EC05" w:rsidR="003A1FE5" w:rsidRPr="00A869EF" w:rsidRDefault="004C0160" w:rsidP="003A1FE5">
            <w:r>
              <w:t xml:space="preserve"> </w:t>
            </w:r>
            <w:commentRangeStart w:id="18"/>
            <w:r w:rsidR="0030531D">
              <w:t>*</w:t>
            </w:r>
            <w:commentRangeEnd w:id="18"/>
            <w:r w:rsidR="0030531D">
              <w:rPr>
                <w:rStyle w:val="CommentReference"/>
              </w:rPr>
              <w:commentReference w:id="18"/>
            </w:r>
          </w:p>
        </w:tc>
      </w:tr>
      <w:tr w:rsidR="003A1FE5" w:rsidRPr="00A869EF" w14:paraId="0BD6D6F3" w14:textId="77777777" w:rsidTr="003A1FE5">
        <w:tc>
          <w:tcPr>
            <w:tcW w:w="2518" w:type="dxa"/>
            <w:shd w:val="clear" w:color="auto" w:fill="D9D9D9"/>
          </w:tcPr>
          <w:p w14:paraId="69F8D0CD" w14:textId="75B55397" w:rsidR="003A1FE5" w:rsidRPr="00A869EF" w:rsidRDefault="003A1FE5" w:rsidP="00B011C3">
            <w:r>
              <w:t>Persona responsable de la activación del plan de recuperación ante desastres y de los medios de activación:</w:t>
            </w:r>
          </w:p>
        </w:tc>
        <w:tc>
          <w:tcPr>
            <w:tcW w:w="6770" w:type="dxa"/>
          </w:tcPr>
          <w:p w14:paraId="096F3F2A" w14:textId="77777777" w:rsidR="003A1FE5" w:rsidRPr="00A869EF" w:rsidRDefault="003A1FE5" w:rsidP="003A1FE5">
            <w:r>
              <w:t>[</w:t>
            </w:r>
            <w:commentRangeStart w:id="19"/>
            <w:r>
              <w:t>cargo</w:t>
            </w:r>
            <w:commentRangeEnd w:id="19"/>
            <w:r w:rsidR="0030531D">
              <w:rPr>
                <w:rStyle w:val="CommentReference"/>
              </w:rPr>
              <w:commentReference w:id="19"/>
            </w:r>
            <w:r>
              <w:t>] / oral o escrito</w:t>
            </w:r>
          </w:p>
        </w:tc>
      </w:tr>
      <w:tr w:rsidR="003A1FE5" w:rsidRPr="00A869EF" w14:paraId="74C16712" w14:textId="77777777" w:rsidTr="003A1FE5">
        <w:tc>
          <w:tcPr>
            <w:tcW w:w="2518" w:type="dxa"/>
            <w:shd w:val="clear" w:color="auto" w:fill="D9D9D9"/>
          </w:tcPr>
          <w:p w14:paraId="4C00CD97" w14:textId="77777777" w:rsidR="003A1FE5" w:rsidRPr="00A869EF" w:rsidRDefault="003A1FE5" w:rsidP="003A1FE5">
            <w:r>
              <w:t>Personas a las que se debe notificar la activación del plan / quién es responsable:</w:t>
            </w:r>
          </w:p>
        </w:tc>
        <w:tc>
          <w:tcPr>
            <w:tcW w:w="6770" w:type="dxa"/>
          </w:tcPr>
          <w:p w14:paraId="55DC053A" w14:textId="77777777" w:rsidR="003A1FE5" w:rsidRPr="00A869EF" w:rsidRDefault="003A1FE5" w:rsidP="003A1FE5">
            <w:r>
              <w:t>[detallar todos los cargos a los que se debe notificar]; responsable [</w:t>
            </w:r>
            <w:commentRangeStart w:id="20"/>
            <w:commentRangeStart w:id="21"/>
            <w:r>
              <w:t>cargo</w:t>
            </w:r>
            <w:commentRangeEnd w:id="20"/>
            <w:r w:rsidR="0030531D">
              <w:rPr>
                <w:rStyle w:val="CommentReference"/>
              </w:rPr>
              <w:commentReference w:id="20"/>
            </w:r>
            <w:commentRangeEnd w:id="21"/>
            <w:r w:rsidR="0030531D">
              <w:rPr>
                <w:rStyle w:val="CommentReference"/>
              </w:rPr>
              <w:commentReference w:id="21"/>
            </w:r>
            <w:r>
              <w:t>]</w:t>
            </w:r>
          </w:p>
        </w:tc>
      </w:tr>
      <w:tr w:rsidR="003A1FE5" w:rsidRPr="00A869EF" w14:paraId="463A9D3C" w14:textId="77777777" w:rsidTr="003A1FE5">
        <w:tc>
          <w:tcPr>
            <w:tcW w:w="2518" w:type="dxa"/>
            <w:shd w:val="clear" w:color="auto" w:fill="D9D9D9"/>
          </w:tcPr>
          <w:p w14:paraId="3A9C180C" w14:textId="6A23AAFC" w:rsidR="003A1FE5" w:rsidRPr="00A869EF" w:rsidRDefault="003A1FE5" w:rsidP="00B011C3">
            <w:r>
              <w:lastRenderedPageBreak/>
              <w:t>Persona responsable de la desactivación del plan de recuperación ante desastres / medios de desactivación / criterios:</w:t>
            </w:r>
          </w:p>
        </w:tc>
        <w:tc>
          <w:tcPr>
            <w:tcW w:w="6770" w:type="dxa"/>
          </w:tcPr>
          <w:p w14:paraId="11535D9A" w14:textId="77777777" w:rsidR="003A1FE5" w:rsidRPr="00A869EF" w:rsidRDefault="003A1FE5" w:rsidP="003A1FE5">
            <w:r>
              <w:t>[</w:t>
            </w:r>
            <w:commentRangeStart w:id="22"/>
            <w:r>
              <w:t>cargo</w:t>
            </w:r>
            <w:commentRangeEnd w:id="22"/>
            <w:r w:rsidR="0030531D">
              <w:rPr>
                <w:rStyle w:val="CommentReference"/>
              </w:rPr>
              <w:commentReference w:id="22"/>
            </w:r>
            <w:r>
              <w:t>] / [oral o escrito] / [</w:t>
            </w:r>
            <w:commentRangeStart w:id="23"/>
            <w:r>
              <w:t>descripción de los criterios</w:t>
            </w:r>
            <w:commentRangeEnd w:id="23"/>
            <w:r w:rsidR="0030531D">
              <w:rPr>
                <w:rStyle w:val="CommentReference"/>
              </w:rPr>
              <w:commentReference w:id="23"/>
            </w:r>
            <w:r>
              <w:t xml:space="preserve">] </w:t>
            </w:r>
          </w:p>
        </w:tc>
      </w:tr>
    </w:tbl>
    <w:p w14:paraId="2D61E12B" w14:textId="77777777" w:rsidR="003A1FE5" w:rsidRDefault="003A1FE5" w:rsidP="00664D22"/>
    <w:p w14:paraId="1745C492" w14:textId="77777777" w:rsidR="00664D22" w:rsidRDefault="00664D22" w:rsidP="00664D22"/>
    <w:p w14:paraId="230CAD2B" w14:textId="77777777" w:rsidR="00664D22" w:rsidRDefault="00664D22" w:rsidP="00664D22">
      <w:pPr>
        <w:spacing w:line="240" w:lineRule="auto"/>
        <w:jc w:val="center"/>
        <w:rPr>
          <w:lang w:eastAsia="en-US"/>
        </w:rPr>
      </w:pPr>
      <w:r>
        <w:rPr>
          <w:lang w:eastAsia="en-US"/>
        </w:rPr>
        <w:t>** FIN DE MUESTRA GRATIS **</w:t>
      </w:r>
    </w:p>
    <w:p w14:paraId="6A92C48B" w14:textId="7AEA933F" w:rsidR="00664D22" w:rsidRPr="00A869EF" w:rsidRDefault="00664D22" w:rsidP="00664D22">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https://advisera.com/eugdpracademy/es/documentation/plan-de-recuperacion-ante-desastres/</w:t>
        </w:r>
      </w:hyperlink>
      <w:r>
        <w:rPr>
          <w:rFonts w:cstheme="minorHAnsi"/>
        </w:rPr>
        <w:t xml:space="preserve"> </w:t>
      </w:r>
      <w:bookmarkStart w:id="24" w:name="_GoBack"/>
      <w:bookmarkEnd w:id="24"/>
    </w:p>
    <w:sectPr w:rsidR="00664D22" w:rsidRPr="00A869EF" w:rsidSect="00DA219C">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5:44:00Z" w:initials="EU GDPR">
    <w:p w14:paraId="1812875E" w14:textId="5F7C352C" w:rsidR="0030531D" w:rsidRDefault="0030531D">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2:33:00Z" w:initials="EU GDPR">
    <w:p w14:paraId="126771A5" w14:textId="77777777" w:rsidR="007A4854" w:rsidRDefault="007A4854">
      <w:pPr>
        <w:pStyle w:val="CommentText"/>
      </w:pPr>
      <w:r>
        <w:rPr>
          <w:rStyle w:val="CommentReference"/>
        </w:rPr>
        <w:annotationRef/>
      </w:r>
      <w:r>
        <w:rPr>
          <w:rStyle w:val="CommentReference"/>
        </w:rPr>
        <w:annotationRef/>
      </w:r>
      <w:r>
        <w:t xml:space="preserve">Para conocer más sobre Planes de recuperación ante desastres, lea el siguiente artículo: </w:t>
      </w:r>
    </w:p>
    <w:p w14:paraId="262670F1" w14:textId="77777777" w:rsidR="007A4854" w:rsidRDefault="007A4854">
      <w:pPr>
        <w:pStyle w:val="CommentText"/>
      </w:pPr>
    </w:p>
    <w:p w14:paraId="50D6E9EA" w14:textId="5CB101FE" w:rsidR="007A4854" w:rsidRDefault="007A4854">
      <w:pPr>
        <w:pStyle w:val="CommentText"/>
      </w:pPr>
      <w:r>
        <w:t xml:space="preserve">Recuperación ante desastres vs. continuidad del negocio </w:t>
      </w:r>
      <w:hyperlink r:id="rId1" w:history="1">
        <w:r w:rsidRPr="007A4854">
          <w:rPr>
            <w:rStyle w:val="Hyperlink"/>
            <w:rFonts w:asciiTheme="minorHAnsi" w:eastAsia="DejaVu Sans" w:hAnsiTheme="minorHAnsi" w:cstheme="minorHAnsi"/>
            <w:lang w:val="en-US" w:bidi="en-US"/>
          </w:rPr>
          <w:t>http://advisera.com/27001academy/blog/2010/11/04/disaster-recovery-vs-business-continuity/</w:t>
        </w:r>
      </w:hyperlink>
    </w:p>
  </w:comment>
  <w:comment w:id="2" w:author="EUGDPRAcademy" w:date="2018-01-16T12:33:00Z" w:initials="EU GDPR">
    <w:p w14:paraId="2C5C3F72" w14:textId="77777777" w:rsidR="007A4854" w:rsidRDefault="007A4854" w:rsidP="007A4854">
      <w:pPr>
        <w:pStyle w:val="CommentText"/>
      </w:pPr>
      <w:r>
        <w:rPr>
          <w:rStyle w:val="CommentReference"/>
        </w:rPr>
        <w:annotationRef/>
      </w:r>
      <w:r>
        <w:t xml:space="preserve">Este plan está destinado a organizaciones en las que la recuperación de la infraestructura de TI y los servicios de TI se pueden integrar en un solo plan. </w:t>
      </w:r>
    </w:p>
    <w:p w14:paraId="52E8A13F" w14:textId="77777777" w:rsidR="007A4854" w:rsidRDefault="007A4854" w:rsidP="007A4854">
      <w:pPr>
        <w:pStyle w:val="CommentText"/>
      </w:pPr>
    </w:p>
    <w:p w14:paraId="1546AEE1" w14:textId="69FABB19" w:rsidR="007A4854" w:rsidRDefault="007A4854" w:rsidP="007A4854">
      <w:pPr>
        <w:pStyle w:val="CommentText"/>
      </w:pPr>
      <w:r>
        <w:t>Para las organizaciones que tienen una infraestructura de TI compleja o tienen diferentes RTO para diferentes sistemas de TI, podría ser mejor desarrollar planes de recuperación ante catástrofes por separado para diferentes sistemas de TI.</w:t>
      </w:r>
    </w:p>
  </w:comment>
  <w:comment w:id="3" w:author="EUGDPRAcademy" w:date="2018-01-16T15:45:00Z" w:initials="EU GDPR">
    <w:p w14:paraId="72EFD9FB" w14:textId="68EF2FDC" w:rsidR="0030531D" w:rsidRDefault="0030531D">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0" w:author="EUGDPRAcademy" w:date="2018-01-16T15:45:00Z" w:initials="EU GDPR">
    <w:p w14:paraId="6FD09BAC" w14:textId="68A5D85D" w:rsidR="0030531D" w:rsidRDefault="0030531D">
      <w:pPr>
        <w:pStyle w:val="CommentText"/>
      </w:pPr>
      <w:r>
        <w:rPr>
          <w:rStyle w:val="CommentReference"/>
        </w:rPr>
        <w:annotationRef/>
      </w:r>
      <w:r>
        <w:rPr>
          <w:rStyle w:val="CommentReference"/>
        </w:rPr>
        <w:annotationRef/>
      </w:r>
      <w:r>
        <w:t>Usted también puede agregar otras premisas; por ejemplo, que al menos el 50% de los empleados del departamento de TI debe estar disponible después de un incidente.</w:t>
      </w:r>
    </w:p>
  </w:comment>
  <w:comment w:id="11" w:author="EUGDPRAcademy" w:date="2018-01-16T15:45:00Z" w:initials="EU GDPR">
    <w:p w14:paraId="6D78A4D1" w14:textId="312D688C" w:rsidR="0030531D" w:rsidRPr="0030531D" w:rsidRDefault="0030531D">
      <w:pPr>
        <w:pStyle w:val="CommentText"/>
        <w:rPr>
          <w:color w:val="000000" w:themeColor="text1"/>
        </w:rPr>
      </w:pPr>
      <w:r>
        <w:rPr>
          <w:rStyle w:val="CommentReference"/>
        </w:rPr>
        <w:annotationRef/>
      </w:r>
      <w:r>
        <w:rPr>
          <w:rStyle w:val="CommentReference"/>
          <w:color w:val="FF0000"/>
        </w:rPr>
        <w:annotationRef/>
      </w:r>
      <w:r w:rsidRPr="00225549">
        <w:rPr>
          <w:color w:val="000000" w:themeColor="text1"/>
        </w:rPr>
        <w:t>Especificar los documentos en los que se planificaron estos recursos; por ejemplo, Política de copias de seguridad, Procedimientos operativos para TI, etc.</w:t>
      </w:r>
    </w:p>
  </w:comment>
  <w:comment w:id="12" w:author="EUGDPRAcademy" w:date="2018-01-16T15:46:00Z" w:initials="EU GDPR">
    <w:p w14:paraId="07DDF520" w14:textId="15DDA25A" w:rsidR="0030531D" w:rsidRDefault="0030531D">
      <w:pPr>
        <w:pStyle w:val="CommentText"/>
      </w:pPr>
      <w:r>
        <w:rPr>
          <w:rStyle w:val="CommentReference"/>
        </w:rPr>
        <w:annotationRef/>
      </w:r>
      <w:r>
        <w:rPr>
          <w:rStyle w:val="CommentReference"/>
        </w:rPr>
        <w:annotationRef/>
      </w:r>
      <w:r>
        <w:t xml:space="preserve">Aquí puede especificar algunos incidentes que este plan no podrá mitigar; por ejemplo, un terremoto de gran intensidad. </w:t>
      </w:r>
    </w:p>
  </w:comment>
  <w:comment w:id="16" w:author="EUGDPRAcademy" w:date="2018-01-16T15:46:00Z" w:initials="EU GDPR">
    <w:p w14:paraId="6AECC368" w14:textId="77777777" w:rsidR="0030531D" w:rsidRDefault="0030531D">
      <w:pPr>
        <w:pStyle w:val="CommentText"/>
      </w:pPr>
      <w:r>
        <w:rPr>
          <w:rStyle w:val="CommentReference"/>
        </w:rPr>
        <w:annotationRef/>
      </w:r>
      <w:r>
        <w:rPr>
          <w:rStyle w:val="CommentReference"/>
        </w:rPr>
        <w:annotationRef/>
      </w:r>
      <w:r>
        <w:t xml:space="preserve">También lea este artículo: </w:t>
      </w:r>
    </w:p>
    <w:p w14:paraId="509110E2" w14:textId="77777777" w:rsidR="0030531D" w:rsidRDefault="0030531D">
      <w:pPr>
        <w:pStyle w:val="CommentText"/>
      </w:pPr>
    </w:p>
    <w:p w14:paraId="07E2E4E7" w14:textId="18114CC4" w:rsidR="0030531D" w:rsidRDefault="0030531D">
      <w:pPr>
        <w:pStyle w:val="CommentText"/>
      </w:pPr>
      <w:r>
        <w:t xml:space="preserve">Sitio de recuperación ante desastres: ¿Cuál es la distancia ideal desde la ubicación principal? </w:t>
      </w:r>
      <w:hyperlink r:id="rId2">
        <w:r>
          <w:rPr>
            <w:rStyle w:val="Hyperlink"/>
          </w:rPr>
          <w:t>http://www.iso27001standard.com/blog/2012/11/19/disaster-recovery-site-what-is-the-ideal-distance-from-primary-site/</w:t>
        </w:r>
      </w:hyperlink>
      <w:r>
        <w:t xml:space="preserve"> </w:t>
      </w:r>
    </w:p>
  </w:comment>
  <w:comment w:id="17" w:author="EUGDPRAcademy" w:date="2018-01-16T15:46:00Z" w:initials="EU GDPR">
    <w:p w14:paraId="144F12D2" w14:textId="77777777" w:rsidR="0030531D" w:rsidRPr="00225549" w:rsidRDefault="0030531D" w:rsidP="0030531D">
      <w:pPr>
        <w:pStyle w:val="CommentText"/>
        <w:rPr>
          <w:color w:val="000000" w:themeColor="text1"/>
        </w:rPr>
      </w:pPr>
      <w:r>
        <w:rPr>
          <w:rStyle w:val="CommentReference"/>
        </w:rPr>
        <w:annotationRef/>
      </w:r>
      <w:r>
        <w:rPr>
          <w:rStyle w:val="CommentReference"/>
        </w:rPr>
        <w:annotationRef/>
      </w:r>
      <w:r w:rsidRPr="00225549">
        <w:rPr>
          <w:color w:val="000000" w:themeColor="text1"/>
        </w:rPr>
        <w:t>Las estrategias de recuperación podrían ser, por ejemplo:</w:t>
      </w:r>
    </w:p>
    <w:p w14:paraId="3891BAA3" w14:textId="77777777" w:rsidR="0030531D" w:rsidRPr="00225549" w:rsidRDefault="0030531D" w:rsidP="0030531D">
      <w:pPr>
        <w:pStyle w:val="CommentText"/>
        <w:numPr>
          <w:ilvl w:val="0"/>
          <w:numId w:val="21"/>
        </w:numPr>
        <w:rPr>
          <w:color w:val="000000" w:themeColor="text1"/>
        </w:rPr>
      </w:pPr>
      <w:r w:rsidRPr="00225549">
        <w:rPr>
          <w:color w:val="000000" w:themeColor="text1"/>
        </w:rPr>
        <w:t xml:space="preserve"> ubicaciones alternativas dentro de la organización (por ej., si la misma organización tiene otros sitios a su disposición); </w:t>
      </w:r>
    </w:p>
    <w:p w14:paraId="49B1C978" w14:textId="77777777" w:rsidR="0030531D" w:rsidRPr="00225549" w:rsidRDefault="0030531D" w:rsidP="0030531D">
      <w:pPr>
        <w:pStyle w:val="CommentText"/>
        <w:numPr>
          <w:ilvl w:val="0"/>
          <w:numId w:val="21"/>
        </w:numPr>
        <w:rPr>
          <w:color w:val="000000" w:themeColor="text1"/>
        </w:rPr>
      </w:pPr>
      <w:r w:rsidRPr="00225549">
        <w:rPr>
          <w:color w:val="000000" w:themeColor="text1"/>
        </w:rPr>
        <w:t xml:space="preserve"> ubicaciones alternativas que pueden ser provistas por una organización asociada (por ej., si hay organizaciones vinculadas por propiedad que posean ubicaciones alternativas adecuadas);</w:t>
      </w:r>
    </w:p>
    <w:p w14:paraId="448ADAA8" w14:textId="77777777" w:rsidR="0030531D" w:rsidRPr="00225549" w:rsidRDefault="0030531D" w:rsidP="0030531D">
      <w:pPr>
        <w:pStyle w:val="CommentText"/>
        <w:numPr>
          <w:ilvl w:val="0"/>
          <w:numId w:val="21"/>
        </w:numPr>
        <w:rPr>
          <w:color w:val="000000" w:themeColor="text1"/>
        </w:rPr>
      </w:pPr>
      <w:r w:rsidRPr="00225549">
        <w:rPr>
          <w:color w:val="000000" w:themeColor="text1"/>
        </w:rPr>
        <w:t xml:space="preserve"> contratos recíprocos (si hay organizaciones que utilizan sitios con la misma, o similar, configuración e infraestructura, pueden firmar un contrato por el cual una organización alquila su sitio e infraestructura a otra organización en el caso de desastres);</w:t>
      </w:r>
    </w:p>
    <w:p w14:paraId="1DF3459C" w14:textId="77777777" w:rsidR="0030531D" w:rsidRPr="00225549" w:rsidRDefault="0030531D" w:rsidP="0030531D">
      <w:pPr>
        <w:pStyle w:val="CommentText"/>
        <w:numPr>
          <w:ilvl w:val="0"/>
          <w:numId w:val="21"/>
        </w:numPr>
        <w:rPr>
          <w:color w:val="000000" w:themeColor="text1"/>
        </w:rPr>
      </w:pPr>
      <w:r w:rsidRPr="00225549">
        <w:rPr>
          <w:color w:val="000000" w:themeColor="text1"/>
        </w:rPr>
        <w:t xml:space="preserve"> ubicaciones alternativas provistas por organizaciones especializadas (por ej., organizaciones que alquilan sus instalaciones ante el caso de desastres, pero también hoteles o, por ejemplo, instituciones educativas equipadas con infraestructura de TIC);</w:t>
      </w:r>
    </w:p>
    <w:p w14:paraId="21A3F51E" w14:textId="7BAE41E9" w:rsidR="0030531D" w:rsidRPr="0030531D" w:rsidRDefault="0030531D" w:rsidP="0030531D">
      <w:pPr>
        <w:pStyle w:val="CommentText"/>
        <w:numPr>
          <w:ilvl w:val="0"/>
          <w:numId w:val="21"/>
        </w:numPr>
        <w:rPr>
          <w:color w:val="000000" w:themeColor="text1"/>
        </w:rPr>
      </w:pPr>
      <w:r w:rsidRPr="00225549">
        <w:rPr>
          <w:color w:val="000000" w:themeColor="text1"/>
        </w:rPr>
        <w:t xml:space="preserve"> trabajo desde el hogar o en alguna ubicación remota (esta opción es posible para actividades que no requieren acceso a documentación física, infraestructura, etc.)</w:t>
      </w:r>
    </w:p>
  </w:comment>
  <w:comment w:id="18" w:author="EUGDPRAcademy" w:date="2018-01-16T15:46:00Z" w:initials="EU GDPR">
    <w:p w14:paraId="78BC6311" w14:textId="39A6CBB8" w:rsidR="0030531D" w:rsidRPr="0030531D" w:rsidRDefault="0030531D">
      <w:pPr>
        <w:pStyle w:val="CommentText"/>
        <w:rPr>
          <w:color w:val="000000" w:themeColor="text1"/>
          <w:sz w:val="24"/>
        </w:rPr>
      </w:pPr>
      <w:r>
        <w:rPr>
          <w:rStyle w:val="CommentReference"/>
        </w:rPr>
        <w:annotationRef/>
      </w:r>
      <w:r>
        <w:rPr>
          <w:rStyle w:val="CommentReference"/>
        </w:rPr>
        <w:annotationRef/>
      </w:r>
      <w:r w:rsidRPr="00225549">
        <w:rPr>
          <w:rStyle w:val="CommentReference"/>
          <w:color w:val="000000" w:themeColor="text1"/>
          <w:sz w:val="20"/>
        </w:rPr>
        <w:annotationRef/>
      </w:r>
      <w:r w:rsidRPr="00225549">
        <w:rPr>
          <w:rStyle w:val="CommentReference"/>
          <w:color w:val="000000" w:themeColor="text1"/>
          <w:sz w:val="20"/>
        </w:rPr>
        <w:t>Definir el tiempo máximo dentro del cual la TI debe ser recuperada</w:t>
      </w:r>
      <w:r>
        <w:rPr>
          <w:rStyle w:val="CommentReference"/>
          <w:color w:val="000000" w:themeColor="text1"/>
          <w:sz w:val="20"/>
        </w:rPr>
        <w:t>.</w:t>
      </w:r>
    </w:p>
  </w:comment>
  <w:comment w:id="19" w:author="EUGDPRAcademy" w:date="2018-01-16T15:46:00Z" w:initials="EU GDPR">
    <w:p w14:paraId="72344B62" w14:textId="78CCA2D4" w:rsidR="0030531D" w:rsidRPr="0030531D" w:rsidRDefault="0030531D">
      <w:pPr>
        <w:pStyle w:val="CommentText"/>
        <w:rPr>
          <w:color w:val="000000" w:themeColor="text1"/>
        </w:rPr>
      </w:pPr>
      <w:r>
        <w:rPr>
          <w:rStyle w:val="CommentReference"/>
        </w:rPr>
        <w:annotationRef/>
      </w:r>
      <w:r>
        <w:rPr>
          <w:rStyle w:val="CommentReference"/>
        </w:rPr>
        <w:annotationRef/>
      </w:r>
      <w:r w:rsidRPr="00225549">
        <w:rPr>
          <w:color w:val="000000" w:themeColor="text1"/>
        </w:rPr>
        <w:t>Generalmente el CEO</w:t>
      </w:r>
      <w:r>
        <w:rPr>
          <w:color w:val="000000" w:themeColor="text1"/>
        </w:rPr>
        <w:t>.</w:t>
      </w:r>
    </w:p>
  </w:comment>
  <w:comment w:id="20" w:author="EUGDPRAcademy" w:date="2018-01-16T15:46:00Z" w:initials="EU GDPR">
    <w:p w14:paraId="0FB5EB52" w14:textId="77D1E561" w:rsidR="0030531D" w:rsidRDefault="0030531D">
      <w:pPr>
        <w:pStyle w:val="CommentText"/>
      </w:pPr>
      <w:r>
        <w:rPr>
          <w:rStyle w:val="CommentReference"/>
        </w:rPr>
        <w:annotationRef/>
      </w:r>
      <w:r>
        <w:rPr>
          <w:rStyle w:val="CommentReference"/>
        </w:rPr>
        <w:annotationRef/>
      </w:r>
      <w:r>
        <w:t>Generalmente, todos los empleados del departamento de TI.</w:t>
      </w:r>
    </w:p>
  </w:comment>
  <w:comment w:id="21" w:author="EUGDPRAcademy" w:date="2018-01-16T15:46:00Z" w:initials="EU GDPR">
    <w:p w14:paraId="3BA0FC97" w14:textId="6E6A5312" w:rsidR="0030531D" w:rsidRDefault="0030531D">
      <w:pPr>
        <w:pStyle w:val="CommentText"/>
      </w:pPr>
      <w:r>
        <w:rPr>
          <w:rStyle w:val="CommentReference"/>
        </w:rPr>
        <w:annotationRef/>
      </w:r>
      <w:r>
        <w:rPr>
          <w:rStyle w:val="CommentReference"/>
        </w:rPr>
        <w:annotationRef/>
      </w:r>
      <w:r>
        <w:t>Generalmente, el Jefe del departamento de TI.</w:t>
      </w:r>
    </w:p>
  </w:comment>
  <w:comment w:id="22" w:author="EUGDPRAcademy" w:date="2018-01-16T15:47:00Z" w:initials="EU GDPR">
    <w:p w14:paraId="42226722" w14:textId="24CA29EF" w:rsidR="0030531D" w:rsidRDefault="0030531D">
      <w:pPr>
        <w:pStyle w:val="CommentText"/>
      </w:pPr>
      <w:r>
        <w:rPr>
          <w:rStyle w:val="CommentReference"/>
        </w:rPr>
        <w:annotationRef/>
      </w:r>
      <w:r>
        <w:rPr>
          <w:rStyle w:val="CommentReference"/>
        </w:rPr>
        <w:annotationRef/>
      </w:r>
      <w:r>
        <w:t>Generalmente, el Jefe del departamento de TI.</w:t>
      </w:r>
    </w:p>
  </w:comment>
  <w:comment w:id="23" w:author="EUGDPRAcademy" w:date="2018-01-16T15:47:00Z" w:initials="EU GDPR">
    <w:p w14:paraId="6BAE1C32" w14:textId="6FC2F3B7" w:rsidR="0030531D" w:rsidRDefault="0030531D">
      <w:pPr>
        <w:pStyle w:val="CommentText"/>
      </w:pPr>
      <w:r>
        <w:rPr>
          <w:rStyle w:val="CommentReference"/>
        </w:rPr>
        <w:annotationRef/>
      </w:r>
      <w:r>
        <w:rPr>
          <w:rStyle w:val="CommentReference"/>
        </w:rPr>
        <w:annotationRef/>
      </w:r>
      <w:r>
        <w:t>El criterio habitual es que se deben cumplir todas las condiciones para prestación de los servicio de TI a los usuarios comerciales.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12875E" w15:done="0"/>
  <w15:commentEx w15:paraId="50D6E9EA" w15:done="0"/>
  <w15:commentEx w15:paraId="1546AEE1" w15:done="0"/>
  <w15:commentEx w15:paraId="72EFD9FB" w15:done="0"/>
  <w15:commentEx w15:paraId="6FD09BAC" w15:done="0"/>
  <w15:commentEx w15:paraId="6D78A4D1" w15:done="0"/>
  <w15:commentEx w15:paraId="07DDF520" w15:done="0"/>
  <w15:commentEx w15:paraId="07E2E4E7" w15:done="0"/>
  <w15:commentEx w15:paraId="21A3F51E" w15:done="0"/>
  <w15:commentEx w15:paraId="78BC6311" w15:done="0"/>
  <w15:commentEx w15:paraId="72344B62" w15:done="0"/>
  <w15:commentEx w15:paraId="0FB5EB52" w15:done="0"/>
  <w15:commentEx w15:paraId="3BA0FC97" w15:done="0"/>
  <w15:commentEx w15:paraId="42226722" w15:done="0"/>
  <w15:commentEx w15:paraId="6BAE1C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E2281C" w14:textId="77777777" w:rsidR="005D56A4" w:rsidRDefault="005D56A4" w:rsidP="003A1FE5">
      <w:pPr>
        <w:spacing w:after="0" w:line="240" w:lineRule="auto"/>
      </w:pPr>
      <w:r>
        <w:separator/>
      </w:r>
    </w:p>
  </w:endnote>
  <w:endnote w:type="continuationSeparator" w:id="0">
    <w:p w14:paraId="3894B2F7" w14:textId="77777777" w:rsidR="005D56A4" w:rsidRDefault="005D56A4"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DejaVu Sans">
    <w:charset w:val="00"/>
    <w:family w:val="roman"/>
    <w:pitch w:val="default"/>
    <w:sig w:usb0="E7002EFF" w:usb1="D200FDFF" w:usb2="0A246029" w:usb3="00000000" w:csb0="600001FF" w:csb1="DFFF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552"/>
      <w:gridCol w:w="2551"/>
    </w:tblGrid>
    <w:tr w:rsidR="003A1FE5" w:rsidRPr="007A4854" w14:paraId="59746780" w14:textId="77777777" w:rsidTr="003143D9">
      <w:tc>
        <w:tcPr>
          <w:tcW w:w="4219" w:type="dxa"/>
        </w:tcPr>
        <w:p w14:paraId="2D55CAFC" w14:textId="3E9E8B7B" w:rsidR="003A1FE5" w:rsidRPr="007A4854" w:rsidRDefault="007A4854" w:rsidP="00082B16">
          <w:pPr>
            <w:pStyle w:val="Footer"/>
            <w:rPr>
              <w:sz w:val="18"/>
              <w:szCs w:val="18"/>
            </w:rPr>
          </w:pPr>
          <w:r w:rsidRPr="007A4854">
            <w:rPr>
              <w:rFonts w:cs="Calibri"/>
              <w:sz w:val="18"/>
            </w:rPr>
            <w:t>Plan de Recuperación ante Desastres</w:t>
          </w:r>
        </w:p>
      </w:tc>
      <w:tc>
        <w:tcPr>
          <w:tcW w:w="2552" w:type="dxa"/>
        </w:tcPr>
        <w:p w14:paraId="4F58ECF4" w14:textId="74437EE5" w:rsidR="003A1FE5" w:rsidRPr="007A4854" w:rsidRDefault="003A1FE5" w:rsidP="007A4854">
          <w:pPr>
            <w:pStyle w:val="Footer"/>
            <w:jc w:val="center"/>
            <w:rPr>
              <w:sz w:val="18"/>
              <w:szCs w:val="18"/>
            </w:rPr>
          </w:pPr>
          <w:r w:rsidRPr="007A4854">
            <w:rPr>
              <w:sz w:val="18"/>
            </w:rPr>
            <w:t>ver</w:t>
          </w:r>
          <w:r w:rsidR="007A4854" w:rsidRPr="007A4854">
            <w:rPr>
              <w:sz w:val="18"/>
            </w:rPr>
            <w:t xml:space="preserve"> [versión] de</w:t>
          </w:r>
          <w:r w:rsidRPr="007A4854">
            <w:rPr>
              <w:sz w:val="18"/>
            </w:rPr>
            <w:t xml:space="preserve"> [fecha]</w:t>
          </w:r>
        </w:p>
      </w:tc>
      <w:tc>
        <w:tcPr>
          <w:tcW w:w="2551" w:type="dxa"/>
        </w:tcPr>
        <w:p w14:paraId="21872A74" w14:textId="77777777" w:rsidR="003A1FE5" w:rsidRPr="007A4854" w:rsidRDefault="003A1FE5" w:rsidP="003A1FE5">
          <w:pPr>
            <w:pStyle w:val="Footer"/>
            <w:jc w:val="right"/>
            <w:rPr>
              <w:b/>
              <w:sz w:val="18"/>
              <w:szCs w:val="18"/>
            </w:rPr>
          </w:pPr>
          <w:r w:rsidRPr="007A4854">
            <w:rPr>
              <w:sz w:val="18"/>
            </w:rPr>
            <w:t xml:space="preserve">Página </w:t>
          </w:r>
          <w:r w:rsidR="003F3051" w:rsidRPr="007A4854">
            <w:rPr>
              <w:b/>
              <w:sz w:val="18"/>
            </w:rPr>
            <w:fldChar w:fldCharType="begin"/>
          </w:r>
          <w:r w:rsidRPr="007A4854">
            <w:rPr>
              <w:b/>
              <w:sz w:val="18"/>
            </w:rPr>
            <w:instrText xml:space="preserve"> PAGE </w:instrText>
          </w:r>
          <w:r w:rsidR="003F3051" w:rsidRPr="007A4854">
            <w:rPr>
              <w:b/>
              <w:sz w:val="18"/>
            </w:rPr>
            <w:fldChar w:fldCharType="separate"/>
          </w:r>
          <w:r w:rsidR="006056F3">
            <w:rPr>
              <w:b/>
              <w:noProof/>
              <w:sz w:val="18"/>
            </w:rPr>
            <w:t>3</w:t>
          </w:r>
          <w:r w:rsidR="003F3051" w:rsidRPr="007A4854">
            <w:rPr>
              <w:b/>
              <w:sz w:val="18"/>
            </w:rPr>
            <w:fldChar w:fldCharType="end"/>
          </w:r>
          <w:r w:rsidRPr="007A4854">
            <w:rPr>
              <w:sz w:val="18"/>
            </w:rPr>
            <w:t xml:space="preserve"> de </w:t>
          </w:r>
          <w:r w:rsidR="003F3051" w:rsidRPr="007A4854">
            <w:rPr>
              <w:b/>
              <w:sz w:val="18"/>
            </w:rPr>
            <w:fldChar w:fldCharType="begin"/>
          </w:r>
          <w:r w:rsidRPr="007A4854">
            <w:rPr>
              <w:b/>
              <w:sz w:val="18"/>
            </w:rPr>
            <w:instrText xml:space="preserve"> NUMPAGES  </w:instrText>
          </w:r>
          <w:r w:rsidR="003F3051" w:rsidRPr="007A4854">
            <w:rPr>
              <w:b/>
              <w:sz w:val="18"/>
            </w:rPr>
            <w:fldChar w:fldCharType="separate"/>
          </w:r>
          <w:r w:rsidR="006056F3">
            <w:rPr>
              <w:b/>
              <w:noProof/>
              <w:sz w:val="18"/>
            </w:rPr>
            <w:t>4</w:t>
          </w:r>
          <w:r w:rsidR="003F3051" w:rsidRPr="007A4854">
            <w:rPr>
              <w:b/>
              <w:sz w:val="18"/>
            </w:rPr>
            <w:fldChar w:fldCharType="end"/>
          </w:r>
        </w:p>
      </w:tc>
    </w:tr>
  </w:tbl>
  <w:p w14:paraId="61B37EA7" w14:textId="3DFCB713" w:rsidR="003A1FE5" w:rsidRPr="007A4854" w:rsidRDefault="007A4854" w:rsidP="007A4854">
    <w:pPr>
      <w:spacing w:after="0"/>
      <w:ind w:firstLineChars="200" w:firstLine="320"/>
      <w:rPr>
        <w:rFonts w:eastAsia="Times New Roman"/>
        <w:sz w:val="16"/>
        <w:szCs w:val="16"/>
        <w:lang w:eastAsia="en-US" w:bidi="ar-SA"/>
      </w:rPr>
    </w:pPr>
    <w:r w:rsidRPr="007A4854">
      <w:rPr>
        <w:rFonts w:eastAsia="Times New Roman"/>
        <w:sz w:val="16"/>
        <w:szCs w:val="16"/>
        <w:lang w:eastAsia="en-US" w:bidi="ar-SA"/>
      </w:rPr>
      <w:t xml:space="preserve">©2017 Esta plantilla puede ser utilizada por los clientes de Advisera Expert Solutions </w:t>
    </w:r>
    <w:proofErr w:type="spellStart"/>
    <w:r w:rsidRPr="007A4854">
      <w:rPr>
        <w:rFonts w:eastAsia="Times New Roman"/>
        <w:sz w:val="16"/>
        <w:szCs w:val="16"/>
        <w:lang w:eastAsia="en-US" w:bidi="ar-SA"/>
      </w:rPr>
      <w:t>Ltd</w:t>
    </w:r>
    <w:proofErr w:type="spellEnd"/>
    <w:r w:rsidRPr="007A4854">
      <w:rPr>
        <w:rFonts w:eastAsia="Times New Roman"/>
        <w:sz w:val="16"/>
        <w:szCs w:val="16"/>
        <w:lang w:eastAsia="en-US" w:bidi="ar-SA"/>
      </w:rPr>
      <w:t xml:space="preserve">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CAC" w14:textId="737C305B" w:rsidR="003A1FE5" w:rsidRPr="007A4854" w:rsidRDefault="007A4854" w:rsidP="007A4854">
    <w:pPr>
      <w:spacing w:after="0"/>
      <w:jc w:val="center"/>
      <w:rPr>
        <w:rFonts w:eastAsia="Times New Roman"/>
        <w:sz w:val="16"/>
        <w:szCs w:val="16"/>
        <w:lang w:eastAsia="en-US" w:bidi="ar-SA"/>
      </w:rPr>
    </w:pPr>
    <w:r w:rsidRPr="007A4854">
      <w:rPr>
        <w:rFonts w:eastAsia="Times New Roman"/>
        <w:sz w:val="16"/>
        <w:szCs w:val="16"/>
        <w:lang w:eastAsia="en-US" w:bidi="ar-SA"/>
      </w:rPr>
      <w:t xml:space="preserve">©2017 Esta plantilla puede ser utilizada por los clientes de Advisera Expert Solutions </w:t>
    </w:r>
    <w:proofErr w:type="spellStart"/>
    <w:r w:rsidRPr="007A4854">
      <w:rPr>
        <w:rFonts w:eastAsia="Times New Roman"/>
        <w:sz w:val="16"/>
        <w:szCs w:val="16"/>
        <w:lang w:eastAsia="en-US" w:bidi="ar-SA"/>
      </w:rPr>
      <w:t>Ltd</w:t>
    </w:r>
    <w:proofErr w:type="spellEnd"/>
    <w:r w:rsidRPr="007A4854">
      <w:rPr>
        <w:rFonts w:eastAsia="Times New Roman"/>
        <w:sz w:val="16"/>
        <w:szCs w:val="16"/>
        <w:lang w:eastAsia="en-US" w:bidi="ar-SA"/>
      </w:rPr>
      <w:t xml:space="preserve">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9D63B" w14:textId="77777777" w:rsidR="005D56A4" w:rsidRDefault="005D56A4" w:rsidP="003A1FE5">
      <w:pPr>
        <w:spacing w:after="0" w:line="240" w:lineRule="auto"/>
      </w:pPr>
      <w:r>
        <w:separator/>
      </w:r>
    </w:p>
  </w:footnote>
  <w:footnote w:type="continuationSeparator" w:id="0">
    <w:p w14:paraId="0B1F40A0" w14:textId="77777777" w:rsidR="005D56A4" w:rsidRDefault="005D56A4" w:rsidP="003A1F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A1FE5" w:rsidRPr="006571EC" w14:paraId="7130662E" w14:textId="77777777" w:rsidTr="003A1FE5">
      <w:tc>
        <w:tcPr>
          <w:tcW w:w="6771" w:type="dxa"/>
        </w:tcPr>
        <w:p w14:paraId="782905FF" w14:textId="77777777" w:rsidR="003A1FE5" w:rsidRPr="006571EC" w:rsidRDefault="003A1FE5" w:rsidP="003A1FE5">
          <w:pPr>
            <w:pStyle w:val="Header"/>
            <w:spacing w:after="0"/>
            <w:rPr>
              <w:sz w:val="20"/>
              <w:szCs w:val="20"/>
            </w:rPr>
          </w:pPr>
          <w:r>
            <w:rPr>
              <w:sz w:val="20"/>
            </w:rPr>
            <w:t xml:space="preserve"> [nombre de la organización]</w:t>
          </w:r>
        </w:p>
      </w:tc>
      <w:tc>
        <w:tcPr>
          <w:tcW w:w="2517" w:type="dxa"/>
        </w:tcPr>
        <w:p w14:paraId="58D7FDCC" w14:textId="77777777" w:rsidR="003A1FE5" w:rsidRPr="006571EC" w:rsidRDefault="003A1FE5" w:rsidP="003A1FE5">
          <w:pPr>
            <w:pStyle w:val="Header"/>
            <w:spacing w:after="0"/>
            <w:jc w:val="right"/>
            <w:rPr>
              <w:sz w:val="20"/>
              <w:szCs w:val="20"/>
            </w:rPr>
          </w:pPr>
          <w:r>
            <w:rPr>
              <w:sz w:val="20"/>
            </w:rPr>
            <w:t>[nivel de confidencialidad]</w:t>
          </w:r>
        </w:p>
      </w:tc>
    </w:tr>
  </w:tbl>
  <w:p w14:paraId="68CCE234" w14:textId="77777777" w:rsidR="003A1FE5" w:rsidRPr="007A4854" w:rsidRDefault="003A1FE5" w:rsidP="003A1FE5">
    <w:pPr>
      <w:pStyle w:val="Header"/>
      <w:spacing w:after="0"/>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3">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4">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7">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8">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3">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15">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16">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7">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18">
    <w:nsid w:val="5DD449DF"/>
    <w:multiLevelType w:val="hybridMultilevel"/>
    <w:tmpl w:val="D26E3D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1">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5"/>
  </w:num>
  <w:num w:numId="5">
    <w:abstractNumId w:val="6"/>
  </w:num>
  <w:num w:numId="6">
    <w:abstractNumId w:val="17"/>
  </w:num>
  <w:num w:numId="7">
    <w:abstractNumId w:val="14"/>
  </w:num>
  <w:num w:numId="8">
    <w:abstractNumId w:val="7"/>
  </w:num>
  <w:num w:numId="9">
    <w:abstractNumId w:val="21"/>
  </w:num>
  <w:num w:numId="10">
    <w:abstractNumId w:val="16"/>
  </w:num>
  <w:num w:numId="11">
    <w:abstractNumId w:val="20"/>
  </w:num>
  <w:num w:numId="12">
    <w:abstractNumId w:val="8"/>
  </w:num>
  <w:num w:numId="13">
    <w:abstractNumId w:val="5"/>
  </w:num>
  <w:num w:numId="14">
    <w:abstractNumId w:val="0"/>
  </w:num>
  <w:num w:numId="15">
    <w:abstractNumId w:val="3"/>
  </w:num>
  <w:num w:numId="16">
    <w:abstractNumId w:val="9"/>
  </w:num>
  <w:num w:numId="17">
    <w:abstractNumId w:val="13"/>
  </w:num>
  <w:num w:numId="18">
    <w:abstractNumId w:val="4"/>
  </w:num>
  <w:num w:numId="19">
    <w:abstractNumId w:val="19"/>
  </w:num>
  <w:num w:numId="20">
    <w:abstractNumId w:val="11"/>
  </w:num>
  <w:num w:numId="21">
    <w:abstractNumId w:val="10"/>
  </w:num>
  <w:num w:numId="22">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413CC"/>
    <w:rsid w:val="000714C3"/>
    <w:rsid w:val="00082B16"/>
    <w:rsid w:val="00095B52"/>
    <w:rsid w:val="000E477F"/>
    <w:rsid w:val="0010002C"/>
    <w:rsid w:val="00142D1D"/>
    <w:rsid w:val="00145F5A"/>
    <w:rsid w:val="00191922"/>
    <w:rsid w:val="00225549"/>
    <w:rsid w:val="002449A6"/>
    <w:rsid w:val="002663FC"/>
    <w:rsid w:val="00273C5D"/>
    <w:rsid w:val="002A010E"/>
    <w:rsid w:val="002C69F5"/>
    <w:rsid w:val="002F309B"/>
    <w:rsid w:val="0030531D"/>
    <w:rsid w:val="003143D9"/>
    <w:rsid w:val="003371E1"/>
    <w:rsid w:val="00380A90"/>
    <w:rsid w:val="003A1FE5"/>
    <w:rsid w:val="003E7CE9"/>
    <w:rsid w:val="003F3051"/>
    <w:rsid w:val="00415C32"/>
    <w:rsid w:val="004235AE"/>
    <w:rsid w:val="00481DDB"/>
    <w:rsid w:val="00485375"/>
    <w:rsid w:val="00497E4E"/>
    <w:rsid w:val="004A54EE"/>
    <w:rsid w:val="004C0160"/>
    <w:rsid w:val="00533918"/>
    <w:rsid w:val="0053566C"/>
    <w:rsid w:val="00557C77"/>
    <w:rsid w:val="005A480C"/>
    <w:rsid w:val="005D56A4"/>
    <w:rsid w:val="006056F3"/>
    <w:rsid w:val="00616051"/>
    <w:rsid w:val="006272C3"/>
    <w:rsid w:val="00642406"/>
    <w:rsid w:val="006600CF"/>
    <w:rsid w:val="00664D22"/>
    <w:rsid w:val="00673417"/>
    <w:rsid w:val="00683153"/>
    <w:rsid w:val="00692949"/>
    <w:rsid w:val="006D2042"/>
    <w:rsid w:val="006F57AB"/>
    <w:rsid w:val="00723093"/>
    <w:rsid w:val="00770EAC"/>
    <w:rsid w:val="007A4854"/>
    <w:rsid w:val="007E0E75"/>
    <w:rsid w:val="007E79D7"/>
    <w:rsid w:val="00807CDC"/>
    <w:rsid w:val="0083296A"/>
    <w:rsid w:val="00842D8D"/>
    <w:rsid w:val="008A6DB1"/>
    <w:rsid w:val="009274E9"/>
    <w:rsid w:val="00927DFD"/>
    <w:rsid w:val="0094003A"/>
    <w:rsid w:val="0095423C"/>
    <w:rsid w:val="00967E2F"/>
    <w:rsid w:val="009A1091"/>
    <w:rsid w:val="009B292D"/>
    <w:rsid w:val="009B4269"/>
    <w:rsid w:val="009B70AD"/>
    <w:rsid w:val="009B754B"/>
    <w:rsid w:val="009F601D"/>
    <w:rsid w:val="00A059F7"/>
    <w:rsid w:val="00A25C14"/>
    <w:rsid w:val="00A30ADF"/>
    <w:rsid w:val="00A3496B"/>
    <w:rsid w:val="00A57EA1"/>
    <w:rsid w:val="00A66CDF"/>
    <w:rsid w:val="00A869EF"/>
    <w:rsid w:val="00A96046"/>
    <w:rsid w:val="00AA183C"/>
    <w:rsid w:val="00AA5A41"/>
    <w:rsid w:val="00AE6D1F"/>
    <w:rsid w:val="00AF437F"/>
    <w:rsid w:val="00B011C3"/>
    <w:rsid w:val="00B146E1"/>
    <w:rsid w:val="00B476C2"/>
    <w:rsid w:val="00BB4F84"/>
    <w:rsid w:val="00BF249B"/>
    <w:rsid w:val="00C0319F"/>
    <w:rsid w:val="00C41DA3"/>
    <w:rsid w:val="00C663EB"/>
    <w:rsid w:val="00C811B3"/>
    <w:rsid w:val="00CA1627"/>
    <w:rsid w:val="00D14E89"/>
    <w:rsid w:val="00D64FAC"/>
    <w:rsid w:val="00D90E6B"/>
    <w:rsid w:val="00DA219C"/>
    <w:rsid w:val="00DA24AE"/>
    <w:rsid w:val="00DE0742"/>
    <w:rsid w:val="00DF6D78"/>
    <w:rsid w:val="00E475B4"/>
    <w:rsid w:val="00E63774"/>
    <w:rsid w:val="00E67BC8"/>
    <w:rsid w:val="00E702C0"/>
    <w:rsid w:val="00E85B36"/>
    <w:rsid w:val="00EA4CF1"/>
    <w:rsid w:val="00EB2455"/>
    <w:rsid w:val="00EE7D36"/>
    <w:rsid w:val="00EF7FD2"/>
    <w:rsid w:val="00F1202F"/>
    <w:rsid w:val="00F534FB"/>
    <w:rsid w:val="00FE0F2B"/>
    <w:rsid w:val="00FE5BE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05310"/>
  <w15:docId w15:val="{49452602-4476-482B-B80E-4E929443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22554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www.iso27001standard.com/blog/2012/11/19/disaster-recovery-site-what-is-the-ideal-distance-from-primary-site/" TargetMode="External"/><Relationship Id="rId1" Type="http://schemas.openxmlformats.org/officeDocument/2006/relationships/hyperlink" Target="http://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es/documentation/plan-de-recuperacion-ante-desastre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D85DB-2FAA-4A7D-8B71-6BFDD62BD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4</Pages>
  <Words>518</Words>
  <Characters>2955</Characters>
  <Application>Microsoft Office Word</Application>
  <DocSecurity>0</DocSecurity>
  <Lines>24</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Plan de recuperación ante desastres</vt:lpstr>
      <vt:lpstr>Appendix 6+ - Critical Activity Recovery Plan</vt:lpstr>
    </vt:vector>
  </TitlesOfParts>
  <Company>Advisera Expert Solutions Ltd</Company>
  <LinksUpToDate>false</LinksUpToDate>
  <CharactersWithSpaces>3467</CharactersWithSpaces>
  <SharedDoc>false</SharedDoc>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Recuperación ante Desastres</dc:title>
  <dc:creator>EUGDPRAcademy</dc:creator>
  <dc:description>©2017 Esta plantilla puede ser utilizada por los clientes de Advisera Expert Solutions Ltd de acuerdo al contrato de licencia.</dc:description>
  <cp:lastModifiedBy>EUGDPRAcademy</cp:lastModifiedBy>
  <cp:revision>8</cp:revision>
  <dcterms:created xsi:type="dcterms:W3CDTF">2015-03-17T23:05:00Z</dcterms:created>
  <dcterms:modified xsi:type="dcterms:W3CDTF">2018-01-18T15:31:00Z</dcterms:modified>
</cp:coreProperties>
</file>