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77B58" w14:textId="7E921B3E" w:rsidR="00717780" w:rsidRDefault="00367A09" w:rsidP="00367A09">
      <w:pPr>
        <w:jc w:val="center"/>
      </w:pPr>
      <w:r w:rsidRPr="00175F7D">
        <w:rPr>
          <w:lang w:eastAsia="en-US"/>
        </w:rPr>
        <w:t>** VERSIÓN DE MUESTRA GRATIS **</w:t>
      </w:r>
    </w:p>
    <w:p w14:paraId="3F73A0FB" w14:textId="77777777" w:rsidR="00717780" w:rsidRDefault="00A21F09">
      <w:pPr>
        <w:rPr>
          <w:lang w:val="en-US"/>
        </w:rPr>
      </w:pPr>
      <w:r>
        <w:rPr>
          <w:lang w:val="en-US"/>
        </w:rPr>
        <w:t xml:space="preserve"> </w:t>
      </w:r>
    </w:p>
    <w:p w14:paraId="51F397FF" w14:textId="77777777" w:rsidR="00717780" w:rsidRDefault="00A21F09">
      <w:r>
        <w:t xml:space="preserve"> </w:t>
      </w:r>
    </w:p>
    <w:p w14:paraId="091AF12D" w14:textId="77777777" w:rsidR="00717780" w:rsidRDefault="00717780"/>
    <w:p w14:paraId="69A2EF29" w14:textId="77777777" w:rsidR="00717780" w:rsidRDefault="00717780"/>
    <w:p w14:paraId="2ABDF15B" w14:textId="77777777" w:rsidR="00717780" w:rsidRDefault="00717780"/>
    <w:p w14:paraId="53E0F464" w14:textId="77777777" w:rsidR="00717780" w:rsidRDefault="00717780"/>
    <w:p w14:paraId="780C9357" w14:textId="77777777" w:rsidR="00717780" w:rsidRDefault="00A21F09">
      <w:pPr>
        <w:jc w:val="center"/>
      </w:pPr>
      <w:commentRangeStart w:id="0"/>
      <w:r>
        <w:t>[logo de la organización]</w:t>
      </w:r>
      <w:commentRangeEnd w:id="0"/>
      <w:r w:rsidR="0075759B">
        <w:rPr>
          <w:rStyle w:val="CommentReference"/>
        </w:rPr>
        <w:commentReference w:id="0"/>
      </w:r>
    </w:p>
    <w:p w14:paraId="157D69D8" w14:textId="77777777" w:rsidR="00717780" w:rsidRDefault="00A21F09">
      <w:pPr>
        <w:jc w:val="center"/>
      </w:pPr>
      <w:r>
        <w:t>[nombre de la organización]</w:t>
      </w:r>
    </w:p>
    <w:p w14:paraId="0752330D" w14:textId="77777777" w:rsidR="00717780" w:rsidRDefault="00717780">
      <w:pPr>
        <w:jc w:val="center"/>
      </w:pPr>
    </w:p>
    <w:p w14:paraId="777D3A4F" w14:textId="77777777" w:rsidR="00717780" w:rsidRDefault="00717780">
      <w:pPr>
        <w:jc w:val="center"/>
      </w:pPr>
    </w:p>
    <w:p w14:paraId="1A32D892" w14:textId="77777777" w:rsidR="00717780" w:rsidRDefault="00A21F09">
      <w:pPr>
        <w:jc w:val="center"/>
        <w:rPr>
          <w:b/>
          <w:sz w:val="32"/>
          <w:szCs w:val="32"/>
        </w:rPr>
      </w:pPr>
      <w:commentRangeStart w:id="1"/>
      <w:r>
        <w:rPr>
          <w:b/>
          <w:sz w:val="32"/>
        </w:rPr>
        <w:t xml:space="preserve">PROCEDIMIENTO PARA </w:t>
      </w:r>
      <w:r w:rsidR="0075759B">
        <w:rPr>
          <w:b/>
          <w:sz w:val="32"/>
        </w:rPr>
        <w:t>AUDITORIA</w:t>
      </w:r>
      <w:r>
        <w:rPr>
          <w:b/>
          <w:sz w:val="32"/>
        </w:rPr>
        <w:t xml:space="preserve"> INTERNA</w:t>
      </w:r>
      <w:commentRangeEnd w:id="1"/>
      <w:r>
        <w:rPr>
          <w:rStyle w:val="CommentReference"/>
        </w:rPr>
        <w:commentReference w:id="1"/>
      </w:r>
    </w:p>
    <w:p w14:paraId="2BAB13DC" w14:textId="77777777" w:rsidR="00717780" w:rsidRDefault="00717780">
      <w:pPr>
        <w:jc w:val="center"/>
      </w:pPr>
    </w:p>
    <w:tbl>
      <w:tblPr>
        <w:tblW w:w="9288" w:type="dxa"/>
        <w:tblBorders>
          <w:top w:val="single" w:sz="4" w:space="0" w:color="000000"/>
          <w:bottom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6912"/>
      </w:tblGrid>
      <w:tr w:rsidR="00717780" w14:paraId="164E4E0D" w14:textId="77777777">
        <w:tc>
          <w:tcPr>
            <w:tcW w:w="2376" w:type="dxa"/>
          </w:tcPr>
          <w:p w14:paraId="5D25A8F3" w14:textId="77777777" w:rsidR="00717780" w:rsidRDefault="00A21F09">
            <w:commentRangeStart w:id="2"/>
            <w:r>
              <w:t>Código</w:t>
            </w:r>
            <w:commentRangeEnd w:id="2"/>
            <w:r w:rsidR="0075759B">
              <w:rPr>
                <w:rStyle w:val="CommentReference"/>
              </w:rPr>
              <w:commentReference w:id="2"/>
            </w:r>
            <w:r>
              <w:t>:</w:t>
            </w:r>
          </w:p>
        </w:tc>
        <w:tc>
          <w:tcPr>
            <w:tcW w:w="6912" w:type="dxa"/>
          </w:tcPr>
          <w:p w14:paraId="08CF5DCE" w14:textId="77777777" w:rsidR="00717780" w:rsidRDefault="00717780"/>
        </w:tc>
      </w:tr>
      <w:tr w:rsidR="00717780" w14:paraId="38381046" w14:textId="77777777">
        <w:tc>
          <w:tcPr>
            <w:tcW w:w="2376" w:type="dxa"/>
          </w:tcPr>
          <w:p w14:paraId="551514A0" w14:textId="77777777" w:rsidR="00717780" w:rsidRDefault="00A21F09">
            <w:r>
              <w:t>Versión:</w:t>
            </w:r>
          </w:p>
        </w:tc>
        <w:tc>
          <w:tcPr>
            <w:tcW w:w="6912" w:type="dxa"/>
          </w:tcPr>
          <w:p w14:paraId="24C5180A" w14:textId="77777777" w:rsidR="00717780" w:rsidRDefault="00717780"/>
        </w:tc>
      </w:tr>
      <w:tr w:rsidR="00717780" w14:paraId="1AE217B9" w14:textId="77777777">
        <w:tc>
          <w:tcPr>
            <w:tcW w:w="2376" w:type="dxa"/>
          </w:tcPr>
          <w:p w14:paraId="59D522B2" w14:textId="77777777" w:rsidR="00717780" w:rsidRDefault="00A21F09">
            <w:r>
              <w:t>Fecha de la versión:</w:t>
            </w:r>
          </w:p>
        </w:tc>
        <w:tc>
          <w:tcPr>
            <w:tcW w:w="6912" w:type="dxa"/>
          </w:tcPr>
          <w:p w14:paraId="60A0FBA0" w14:textId="77777777" w:rsidR="00717780" w:rsidRDefault="00717780"/>
        </w:tc>
      </w:tr>
      <w:tr w:rsidR="00717780" w14:paraId="06100ABF" w14:textId="77777777">
        <w:tc>
          <w:tcPr>
            <w:tcW w:w="2376" w:type="dxa"/>
          </w:tcPr>
          <w:p w14:paraId="6EB4CB94" w14:textId="77777777" w:rsidR="00717780" w:rsidRDefault="00A21F09">
            <w:r>
              <w:t>Creado por:</w:t>
            </w:r>
          </w:p>
        </w:tc>
        <w:tc>
          <w:tcPr>
            <w:tcW w:w="6912" w:type="dxa"/>
          </w:tcPr>
          <w:p w14:paraId="28F2CF86" w14:textId="77777777" w:rsidR="00717780" w:rsidRDefault="00717780"/>
        </w:tc>
      </w:tr>
      <w:tr w:rsidR="00717780" w14:paraId="00AD8D90" w14:textId="77777777">
        <w:tc>
          <w:tcPr>
            <w:tcW w:w="2376" w:type="dxa"/>
          </w:tcPr>
          <w:p w14:paraId="3078E44E" w14:textId="77777777" w:rsidR="00717780" w:rsidRDefault="00A21F09">
            <w:r>
              <w:t>Aprobado por:</w:t>
            </w:r>
          </w:p>
        </w:tc>
        <w:tc>
          <w:tcPr>
            <w:tcW w:w="6912" w:type="dxa"/>
          </w:tcPr>
          <w:p w14:paraId="28DB508A" w14:textId="77777777" w:rsidR="00717780" w:rsidRDefault="00717780"/>
        </w:tc>
      </w:tr>
      <w:tr w:rsidR="00717780" w14:paraId="1C173AC8" w14:textId="77777777">
        <w:tc>
          <w:tcPr>
            <w:tcW w:w="2376" w:type="dxa"/>
          </w:tcPr>
          <w:p w14:paraId="1D1C6F1C" w14:textId="77777777" w:rsidR="00717780" w:rsidRDefault="00A21F09">
            <w:r>
              <w:t>Nivel de confidencialidad:</w:t>
            </w:r>
          </w:p>
        </w:tc>
        <w:tc>
          <w:tcPr>
            <w:tcW w:w="6912" w:type="dxa"/>
          </w:tcPr>
          <w:p w14:paraId="66DF3593" w14:textId="77777777" w:rsidR="00717780" w:rsidRDefault="00717780"/>
        </w:tc>
      </w:tr>
    </w:tbl>
    <w:p w14:paraId="4236DBE1" w14:textId="77777777" w:rsidR="00717780" w:rsidRDefault="00717780"/>
    <w:p w14:paraId="4D9E1CAE" w14:textId="77777777" w:rsidR="00717780" w:rsidRDefault="00717780"/>
    <w:p w14:paraId="45BF262A" w14:textId="77777777" w:rsidR="00717780" w:rsidRDefault="00A21F09">
      <w:pPr>
        <w:rPr>
          <w:b/>
          <w:sz w:val="28"/>
          <w:szCs w:val="28"/>
        </w:rPr>
      </w:pPr>
      <w:r>
        <w:br w:type="page"/>
      </w:r>
      <w:r>
        <w:rPr>
          <w:b/>
          <w:sz w:val="28"/>
        </w:rPr>
        <w:lastRenderedPageBreak/>
        <w:t>Historial de modificaciones</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1"/>
        <w:gridCol w:w="988"/>
        <w:gridCol w:w="1798"/>
        <w:gridCol w:w="5121"/>
      </w:tblGrid>
      <w:tr w:rsidR="00717780" w14:paraId="176985AB" w14:textId="77777777">
        <w:tc>
          <w:tcPr>
            <w:tcW w:w="1381" w:type="dxa"/>
          </w:tcPr>
          <w:p w14:paraId="5127E2C3" w14:textId="77777777" w:rsidR="00717780" w:rsidRDefault="00A21F09">
            <w:pPr>
              <w:rPr>
                <w:b/>
              </w:rPr>
            </w:pPr>
            <w:r>
              <w:rPr>
                <w:b/>
              </w:rPr>
              <w:t>Fecha</w:t>
            </w:r>
          </w:p>
        </w:tc>
        <w:tc>
          <w:tcPr>
            <w:tcW w:w="988" w:type="dxa"/>
          </w:tcPr>
          <w:p w14:paraId="023333F3" w14:textId="77777777" w:rsidR="00717780" w:rsidRDefault="00A21F09">
            <w:pPr>
              <w:rPr>
                <w:b/>
              </w:rPr>
            </w:pPr>
            <w:r>
              <w:rPr>
                <w:b/>
              </w:rPr>
              <w:t>Versión</w:t>
            </w:r>
          </w:p>
        </w:tc>
        <w:tc>
          <w:tcPr>
            <w:tcW w:w="1798" w:type="dxa"/>
          </w:tcPr>
          <w:p w14:paraId="015CB458" w14:textId="77777777" w:rsidR="00717780" w:rsidRDefault="00A21F09">
            <w:pPr>
              <w:rPr>
                <w:b/>
              </w:rPr>
            </w:pPr>
            <w:r>
              <w:rPr>
                <w:b/>
              </w:rPr>
              <w:t>Creado por</w:t>
            </w:r>
          </w:p>
        </w:tc>
        <w:tc>
          <w:tcPr>
            <w:tcW w:w="5121" w:type="dxa"/>
          </w:tcPr>
          <w:p w14:paraId="5C7F36E3" w14:textId="77777777" w:rsidR="00717780" w:rsidRDefault="00A21F09">
            <w:pPr>
              <w:rPr>
                <w:b/>
              </w:rPr>
            </w:pPr>
            <w:r>
              <w:rPr>
                <w:b/>
              </w:rPr>
              <w:t>Descripción del cambio</w:t>
            </w:r>
          </w:p>
        </w:tc>
      </w:tr>
      <w:tr w:rsidR="00717780" w14:paraId="4A5AB880" w14:textId="77777777">
        <w:tc>
          <w:tcPr>
            <w:tcW w:w="1381" w:type="dxa"/>
          </w:tcPr>
          <w:p w14:paraId="4639A45F" w14:textId="77777777" w:rsidR="00717780" w:rsidRDefault="00A21F09">
            <w:r>
              <w:t>dd.mm.aaaa</w:t>
            </w:r>
          </w:p>
        </w:tc>
        <w:tc>
          <w:tcPr>
            <w:tcW w:w="988" w:type="dxa"/>
          </w:tcPr>
          <w:p w14:paraId="2C63B3A5" w14:textId="77777777" w:rsidR="00717780" w:rsidRDefault="00A21F09">
            <w:r>
              <w:t>0.1</w:t>
            </w:r>
          </w:p>
        </w:tc>
        <w:tc>
          <w:tcPr>
            <w:tcW w:w="1798" w:type="dxa"/>
          </w:tcPr>
          <w:p w14:paraId="07EF8056" w14:textId="77777777" w:rsidR="00717780" w:rsidRDefault="00A21F09">
            <w:r>
              <w:t>EUGDPRAcademy</w:t>
            </w:r>
          </w:p>
        </w:tc>
        <w:tc>
          <w:tcPr>
            <w:tcW w:w="5121" w:type="dxa"/>
          </w:tcPr>
          <w:p w14:paraId="0A1B09FC" w14:textId="77777777" w:rsidR="00717780" w:rsidRDefault="00A21F09">
            <w:r>
              <w:t>Descripción básica del documento</w:t>
            </w:r>
          </w:p>
        </w:tc>
      </w:tr>
      <w:tr w:rsidR="00717780" w14:paraId="5CBE25F5" w14:textId="77777777">
        <w:tc>
          <w:tcPr>
            <w:tcW w:w="1381" w:type="dxa"/>
          </w:tcPr>
          <w:p w14:paraId="1564E9EF" w14:textId="77777777" w:rsidR="00717780" w:rsidRDefault="00717780"/>
        </w:tc>
        <w:tc>
          <w:tcPr>
            <w:tcW w:w="988" w:type="dxa"/>
          </w:tcPr>
          <w:p w14:paraId="5B6F2AB9" w14:textId="77777777" w:rsidR="00717780" w:rsidRDefault="00717780"/>
        </w:tc>
        <w:tc>
          <w:tcPr>
            <w:tcW w:w="1798" w:type="dxa"/>
          </w:tcPr>
          <w:p w14:paraId="52C6DE30" w14:textId="77777777" w:rsidR="00717780" w:rsidRDefault="00717780"/>
        </w:tc>
        <w:tc>
          <w:tcPr>
            <w:tcW w:w="5121" w:type="dxa"/>
          </w:tcPr>
          <w:p w14:paraId="3246AF41" w14:textId="77777777" w:rsidR="00717780" w:rsidRDefault="00717780"/>
        </w:tc>
      </w:tr>
      <w:tr w:rsidR="00717780" w14:paraId="3776C402" w14:textId="77777777">
        <w:tc>
          <w:tcPr>
            <w:tcW w:w="1381" w:type="dxa"/>
          </w:tcPr>
          <w:p w14:paraId="05C2FD93" w14:textId="77777777" w:rsidR="00717780" w:rsidRDefault="00717780"/>
        </w:tc>
        <w:tc>
          <w:tcPr>
            <w:tcW w:w="988" w:type="dxa"/>
          </w:tcPr>
          <w:p w14:paraId="2486B484" w14:textId="77777777" w:rsidR="00717780" w:rsidRDefault="00717780"/>
        </w:tc>
        <w:tc>
          <w:tcPr>
            <w:tcW w:w="1798" w:type="dxa"/>
          </w:tcPr>
          <w:p w14:paraId="5EC7E3B3" w14:textId="77777777" w:rsidR="00717780" w:rsidRDefault="00717780"/>
        </w:tc>
        <w:tc>
          <w:tcPr>
            <w:tcW w:w="5121" w:type="dxa"/>
          </w:tcPr>
          <w:p w14:paraId="35772943" w14:textId="77777777" w:rsidR="00717780" w:rsidRDefault="00717780"/>
        </w:tc>
      </w:tr>
      <w:tr w:rsidR="00717780" w14:paraId="59C5F40B" w14:textId="77777777">
        <w:tc>
          <w:tcPr>
            <w:tcW w:w="1381" w:type="dxa"/>
          </w:tcPr>
          <w:p w14:paraId="624A644E" w14:textId="77777777" w:rsidR="00717780" w:rsidRDefault="00717780"/>
        </w:tc>
        <w:tc>
          <w:tcPr>
            <w:tcW w:w="988" w:type="dxa"/>
          </w:tcPr>
          <w:p w14:paraId="5AF6ED89" w14:textId="77777777" w:rsidR="00717780" w:rsidRDefault="00717780"/>
        </w:tc>
        <w:tc>
          <w:tcPr>
            <w:tcW w:w="1798" w:type="dxa"/>
          </w:tcPr>
          <w:p w14:paraId="4E037B82" w14:textId="77777777" w:rsidR="00717780" w:rsidRDefault="00717780"/>
        </w:tc>
        <w:tc>
          <w:tcPr>
            <w:tcW w:w="5121" w:type="dxa"/>
          </w:tcPr>
          <w:p w14:paraId="76A602CA" w14:textId="77777777" w:rsidR="00717780" w:rsidRDefault="00717780"/>
        </w:tc>
      </w:tr>
      <w:tr w:rsidR="00717780" w14:paraId="286C52A7" w14:textId="77777777">
        <w:tc>
          <w:tcPr>
            <w:tcW w:w="1381" w:type="dxa"/>
          </w:tcPr>
          <w:p w14:paraId="1A304328" w14:textId="77777777" w:rsidR="00717780" w:rsidRDefault="00717780"/>
        </w:tc>
        <w:tc>
          <w:tcPr>
            <w:tcW w:w="988" w:type="dxa"/>
          </w:tcPr>
          <w:p w14:paraId="488D245B" w14:textId="77777777" w:rsidR="00717780" w:rsidRDefault="00717780"/>
        </w:tc>
        <w:tc>
          <w:tcPr>
            <w:tcW w:w="1798" w:type="dxa"/>
          </w:tcPr>
          <w:p w14:paraId="69B89431" w14:textId="77777777" w:rsidR="00717780" w:rsidRDefault="00717780"/>
        </w:tc>
        <w:tc>
          <w:tcPr>
            <w:tcW w:w="5121" w:type="dxa"/>
          </w:tcPr>
          <w:p w14:paraId="691A1389" w14:textId="77777777" w:rsidR="00717780" w:rsidRDefault="00717780"/>
        </w:tc>
      </w:tr>
      <w:tr w:rsidR="00717780" w14:paraId="2A8282A2" w14:textId="77777777">
        <w:tc>
          <w:tcPr>
            <w:tcW w:w="1381" w:type="dxa"/>
          </w:tcPr>
          <w:p w14:paraId="5EAB8903" w14:textId="77777777" w:rsidR="00717780" w:rsidRDefault="00717780"/>
        </w:tc>
        <w:tc>
          <w:tcPr>
            <w:tcW w:w="988" w:type="dxa"/>
          </w:tcPr>
          <w:p w14:paraId="75B428B4" w14:textId="77777777" w:rsidR="00717780" w:rsidRDefault="00717780"/>
        </w:tc>
        <w:tc>
          <w:tcPr>
            <w:tcW w:w="1798" w:type="dxa"/>
          </w:tcPr>
          <w:p w14:paraId="1B8A81D2" w14:textId="77777777" w:rsidR="00717780" w:rsidRDefault="00717780"/>
        </w:tc>
        <w:tc>
          <w:tcPr>
            <w:tcW w:w="5121" w:type="dxa"/>
          </w:tcPr>
          <w:p w14:paraId="2BA315A7" w14:textId="77777777" w:rsidR="00717780" w:rsidRDefault="00717780"/>
        </w:tc>
      </w:tr>
      <w:tr w:rsidR="00717780" w14:paraId="55A33DF4" w14:textId="77777777">
        <w:tc>
          <w:tcPr>
            <w:tcW w:w="1381" w:type="dxa"/>
          </w:tcPr>
          <w:p w14:paraId="6BDA47F5" w14:textId="77777777" w:rsidR="00717780" w:rsidRDefault="00717780"/>
        </w:tc>
        <w:tc>
          <w:tcPr>
            <w:tcW w:w="988" w:type="dxa"/>
          </w:tcPr>
          <w:p w14:paraId="30076A4E" w14:textId="77777777" w:rsidR="00717780" w:rsidRDefault="00717780"/>
        </w:tc>
        <w:tc>
          <w:tcPr>
            <w:tcW w:w="1798" w:type="dxa"/>
          </w:tcPr>
          <w:p w14:paraId="2786062F" w14:textId="77777777" w:rsidR="00717780" w:rsidRDefault="00717780"/>
        </w:tc>
        <w:tc>
          <w:tcPr>
            <w:tcW w:w="5121" w:type="dxa"/>
          </w:tcPr>
          <w:p w14:paraId="5BA7F65D" w14:textId="77777777" w:rsidR="00717780" w:rsidRDefault="00717780"/>
        </w:tc>
      </w:tr>
    </w:tbl>
    <w:p w14:paraId="728C9041" w14:textId="77777777" w:rsidR="00717780" w:rsidRDefault="00717780"/>
    <w:p w14:paraId="15870CEB" w14:textId="77777777" w:rsidR="00717780" w:rsidRDefault="00717780"/>
    <w:p w14:paraId="79075E39" w14:textId="77777777" w:rsidR="00717780" w:rsidRDefault="00A21F09">
      <w:pPr>
        <w:rPr>
          <w:b/>
          <w:sz w:val="28"/>
          <w:szCs w:val="28"/>
        </w:rPr>
      </w:pPr>
      <w:r>
        <w:rPr>
          <w:b/>
          <w:sz w:val="28"/>
        </w:rPr>
        <w:t>Tabla de contenido</w:t>
      </w:r>
    </w:p>
    <w:p w14:paraId="2AB69C28" w14:textId="77777777" w:rsidR="0075759B" w:rsidRDefault="00A21F0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r>
        <w:fldChar w:fldCharType="begin"/>
      </w:r>
      <w:r>
        <w:instrText xml:space="preserve"> TOC \o "1-3" \h \z \u </w:instrText>
      </w:r>
      <w:r>
        <w:fldChar w:fldCharType="separate"/>
      </w:r>
      <w:hyperlink w:anchor="_Toc503943259" w:history="1">
        <w:r w:rsidR="0075759B" w:rsidRPr="00ED5C50">
          <w:rPr>
            <w:rStyle w:val="Hyperlink"/>
            <w:noProof/>
          </w:rPr>
          <w:t>1.</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Objetivo, alcance y usuarios</w:t>
        </w:r>
        <w:r w:rsidR="0075759B">
          <w:rPr>
            <w:noProof/>
            <w:webHidden/>
          </w:rPr>
          <w:tab/>
        </w:r>
        <w:r w:rsidR="0075759B">
          <w:rPr>
            <w:noProof/>
            <w:webHidden/>
          </w:rPr>
          <w:fldChar w:fldCharType="begin"/>
        </w:r>
        <w:r w:rsidR="0075759B">
          <w:rPr>
            <w:noProof/>
            <w:webHidden/>
          </w:rPr>
          <w:instrText xml:space="preserve"> PAGEREF _Toc503943259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3A91704A" w14:textId="77777777" w:rsidR="0075759B" w:rsidRDefault="0072332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0" w:history="1">
        <w:r w:rsidR="0075759B" w:rsidRPr="00ED5C50">
          <w:rPr>
            <w:rStyle w:val="Hyperlink"/>
            <w:noProof/>
          </w:rPr>
          <w:t>2.</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Documentos de referencia</w:t>
        </w:r>
        <w:r w:rsidR="0075759B">
          <w:rPr>
            <w:noProof/>
            <w:webHidden/>
          </w:rPr>
          <w:tab/>
        </w:r>
        <w:r w:rsidR="0075759B">
          <w:rPr>
            <w:noProof/>
            <w:webHidden/>
          </w:rPr>
          <w:fldChar w:fldCharType="begin"/>
        </w:r>
        <w:r w:rsidR="0075759B">
          <w:rPr>
            <w:noProof/>
            <w:webHidden/>
          </w:rPr>
          <w:instrText xml:space="preserve"> PAGEREF _Toc503943260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788DA4D7" w14:textId="77777777" w:rsidR="0075759B" w:rsidRDefault="0072332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1" w:history="1">
        <w:r w:rsidR="0075759B" w:rsidRPr="00ED5C50">
          <w:rPr>
            <w:rStyle w:val="Hyperlink"/>
            <w:noProof/>
          </w:rPr>
          <w:t>3.</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Auditoria interna</w:t>
        </w:r>
        <w:r w:rsidR="0075759B">
          <w:rPr>
            <w:noProof/>
            <w:webHidden/>
          </w:rPr>
          <w:tab/>
        </w:r>
        <w:r w:rsidR="0075759B">
          <w:rPr>
            <w:noProof/>
            <w:webHidden/>
          </w:rPr>
          <w:fldChar w:fldCharType="begin"/>
        </w:r>
        <w:r w:rsidR="0075759B">
          <w:rPr>
            <w:noProof/>
            <w:webHidden/>
          </w:rPr>
          <w:instrText xml:space="preserve"> PAGEREF _Toc503943261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6CF9C3C3" w14:textId="77777777" w:rsidR="0075759B" w:rsidRDefault="0072332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2" w:history="1">
        <w:r w:rsidR="0075759B" w:rsidRPr="00ED5C50">
          <w:rPr>
            <w:rStyle w:val="Hyperlink"/>
            <w:noProof/>
          </w:rPr>
          <w:t>3.1.</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Objetivo de la auditoria interna</w:t>
        </w:r>
        <w:r w:rsidR="0075759B">
          <w:rPr>
            <w:noProof/>
            <w:webHidden/>
          </w:rPr>
          <w:tab/>
        </w:r>
        <w:r w:rsidR="0075759B">
          <w:rPr>
            <w:noProof/>
            <w:webHidden/>
          </w:rPr>
          <w:fldChar w:fldCharType="begin"/>
        </w:r>
        <w:r w:rsidR="0075759B">
          <w:rPr>
            <w:noProof/>
            <w:webHidden/>
          </w:rPr>
          <w:instrText xml:space="preserve"> PAGEREF _Toc503943262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44D81330" w14:textId="77777777" w:rsidR="0075759B" w:rsidRDefault="0072332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3" w:history="1">
        <w:r w:rsidR="0075759B" w:rsidRPr="00ED5C50">
          <w:rPr>
            <w:rStyle w:val="Hyperlink"/>
            <w:noProof/>
          </w:rPr>
          <w:t>3.2.</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Planificación de la auditoria interna</w:t>
        </w:r>
        <w:r w:rsidR="0075759B">
          <w:rPr>
            <w:noProof/>
            <w:webHidden/>
          </w:rPr>
          <w:tab/>
        </w:r>
        <w:r w:rsidR="0075759B">
          <w:rPr>
            <w:noProof/>
            <w:webHidden/>
          </w:rPr>
          <w:fldChar w:fldCharType="begin"/>
        </w:r>
        <w:r w:rsidR="0075759B">
          <w:rPr>
            <w:noProof/>
            <w:webHidden/>
          </w:rPr>
          <w:instrText xml:space="preserve"> PAGEREF _Toc503943263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30650250" w14:textId="77777777" w:rsidR="0075759B" w:rsidRDefault="0072332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4" w:history="1">
        <w:r w:rsidR="0075759B" w:rsidRPr="00ED5C50">
          <w:rPr>
            <w:rStyle w:val="Hyperlink"/>
            <w:noProof/>
          </w:rPr>
          <w:t>3.3.</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Designación de auditores internos</w:t>
        </w:r>
        <w:r w:rsidR="0075759B">
          <w:rPr>
            <w:noProof/>
            <w:webHidden/>
          </w:rPr>
          <w:tab/>
        </w:r>
        <w:r w:rsidR="0075759B">
          <w:rPr>
            <w:noProof/>
            <w:webHidden/>
          </w:rPr>
          <w:fldChar w:fldCharType="begin"/>
        </w:r>
        <w:r w:rsidR="0075759B">
          <w:rPr>
            <w:noProof/>
            <w:webHidden/>
          </w:rPr>
          <w:instrText xml:space="preserve"> PAGEREF _Toc503943264 \h </w:instrText>
        </w:r>
        <w:r w:rsidR="0075759B">
          <w:rPr>
            <w:noProof/>
            <w:webHidden/>
          </w:rPr>
        </w:r>
        <w:r w:rsidR="0075759B">
          <w:rPr>
            <w:noProof/>
            <w:webHidden/>
          </w:rPr>
          <w:fldChar w:fldCharType="separate"/>
        </w:r>
        <w:r w:rsidR="0075759B">
          <w:rPr>
            <w:noProof/>
            <w:webHidden/>
          </w:rPr>
          <w:t>3</w:t>
        </w:r>
        <w:r w:rsidR="0075759B">
          <w:rPr>
            <w:noProof/>
            <w:webHidden/>
          </w:rPr>
          <w:fldChar w:fldCharType="end"/>
        </w:r>
      </w:hyperlink>
    </w:p>
    <w:p w14:paraId="2E1683CA" w14:textId="77777777" w:rsidR="0075759B" w:rsidRDefault="00723321">
      <w:pPr>
        <w:pStyle w:val="TOC2"/>
        <w:tabs>
          <w:tab w:val="left" w:pos="880"/>
          <w:tab w:val="right" w:leader="dot" w:pos="9062"/>
        </w:tabs>
        <w:rPr>
          <w:rFonts w:asciiTheme="minorHAnsi" w:eastAsiaTheme="minorEastAsia" w:hAnsiTheme="minorHAnsi" w:cstheme="minorBidi"/>
          <w:smallCaps w:val="0"/>
          <w:noProof/>
          <w:sz w:val="22"/>
          <w:szCs w:val="22"/>
          <w:lang w:val="hr-HR" w:eastAsia="zh-CN" w:bidi="ar-SA"/>
        </w:rPr>
      </w:pPr>
      <w:hyperlink w:anchor="_Toc503943265" w:history="1">
        <w:r w:rsidR="0075759B" w:rsidRPr="00ED5C50">
          <w:rPr>
            <w:rStyle w:val="Hyperlink"/>
            <w:noProof/>
          </w:rPr>
          <w:t>3.4.</w:t>
        </w:r>
        <w:r w:rsidR="0075759B">
          <w:rPr>
            <w:rFonts w:asciiTheme="minorHAnsi" w:eastAsiaTheme="minorEastAsia" w:hAnsiTheme="minorHAnsi" w:cstheme="minorBidi"/>
            <w:smallCaps w:val="0"/>
            <w:noProof/>
            <w:sz w:val="22"/>
            <w:szCs w:val="22"/>
            <w:lang w:val="hr-HR" w:eastAsia="zh-CN" w:bidi="ar-SA"/>
          </w:rPr>
          <w:tab/>
        </w:r>
        <w:r w:rsidR="0075759B" w:rsidRPr="00ED5C50">
          <w:rPr>
            <w:rStyle w:val="Hyperlink"/>
            <w:noProof/>
          </w:rPr>
          <w:t>Realización de auditorias internas individuales</w:t>
        </w:r>
        <w:r w:rsidR="0075759B">
          <w:rPr>
            <w:noProof/>
            <w:webHidden/>
          </w:rPr>
          <w:tab/>
        </w:r>
        <w:r w:rsidR="0075759B">
          <w:rPr>
            <w:noProof/>
            <w:webHidden/>
          </w:rPr>
          <w:fldChar w:fldCharType="begin"/>
        </w:r>
        <w:r w:rsidR="0075759B">
          <w:rPr>
            <w:noProof/>
            <w:webHidden/>
          </w:rPr>
          <w:instrText xml:space="preserve"> PAGEREF _Toc503943265 \h </w:instrText>
        </w:r>
        <w:r w:rsidR="0075759B">
          <w:rPr>
            <w:noProof/>
            <w:webHidden/>
          </w:rPr>
        </w:r>
        <w:r w:rsidR="0075759B">
          <w:rPr>
            <w:noProof/>
            <w:webHidden/>
          </w:rPr>
          <w:fldChar w:fldCharType="separate"/>
        </w:r>
        <w:r w:rsidR="0075759B">
          <w:rPr>
            <w:noProof/>
            <w:webHidden/>
          </w:rPr>
          <w:t>4</w:t>
        </w:r>
        <w:r w:rsidR="0075759B">
          <w:rPr>
            <w:noProof/>
            <w:webHidden/>
          </w:rPr>
          <w:fldChar w:fldCharType="end"/>
        </w:r>
      </w:hyperlink>
    </w:p>
    <w:p w14:paraId="30CAB639" w14:textId="77777777" w:rsidR="0075759B" w:rsidRDefault="0072332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6" w:history="1">
        <w:r w:rsidR="0075759B" w:rsidRPr="00ED5C50">
          <w:rPr>
            <w:rStyle w:val="Hyperlink"/>
            <w:noProof/>
          </w:rPr>
          <w:t>4.</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Gestión de registros guardados en base a este documento</w:t>
        </w:r>
        <w:r w:rsidR="0075759B">
          <w:rPr>
            <w:noProof/>
            <w:webHidden/>
          </w:rPr>
          <w:tab/>
        </w:r>
        <w:r w:rsidR="0075759B">
          <w:rPr>
            <w:noProof/>
            <w:webHidden/>
          </w:rPr>
          <w:fldChar w:fldCharType="begin"/>
        </w:r>
        <w:r w:rsidR="0075759B">
          <w:rPr>
            <w:noProof/>
            <w:webHidden/>
          </w:rPr>
          <w:instrText xml:space="preserve"> PAGEREF _Toc503943266 \h </w:instrText>
        </w:r>
        <w:r w:rsidR="0075759B">
          <w:rPr>
            <w:noProof/>
            <w:webHidden/>
          </w:rPr>
        </w:r>
        <w:r w:rsidR="0075759B">
          <w:rPr>
            <w:noProof/>
            <w:webHidden/>
          </w:rPr>
          <w:fldChar w:fldCharType="separate"/>
        </w:r>
        <w:r w:rsidR="0075759B">
          <w:rPr>
            <w:noProof/>
            <w:webHidden/>
          </w:rPr>
          <w:t>4</w:t>
        </w:r>
        <w:r w:rsidR="0075759B">
          <w:rPr>
            <w:noProof/>
            <w:webHidden/>
          </w:rPr>
          <w:fldChar w:fldCharType="end"/>
        </w:r>
      </w:hyperlink>
    </w:p>
    <w:p w14:paraId="6BBD7A60" w14:textId="77777777" w:rsidR="0075759B" w:rsidRDefault="0072332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7" w:history="1">
        <w:r w:rsidR="0075759B" w:rsidRPr="00ED5C50">
          <w:rPr>
            <w:rStyle w:val="Hyperlink"/>
            <w:noProof/>
          </w:rPr>
          <w:t>5.</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Validez y gestión de documentos</w:t>
        </w:r>
        <w:r w:rsidR="0075759B">
          <w:rPr>
            <w:noProof/>
            <w:webHidden/>
          </w:rPr>
          <w:tab/>
        </w:r>
        <w:r w:rsidR="0075759B">
          <w:rPr>
            <w:noProof/>
            <w:webHidden/>
          </w:rPr>
          <w:fldChar w:fldCharType="begin"/>
        </w:r>
        <w:r w:rsidR="0075759B">
          <w:rPr>
            <w:noProof/>
            <w:webHidden/>
          </w:rPr>
          <w:instrText xml:space="preserve"> PAGEREF _Toc503943267 \h </w:instrText>
        </w:r>
        <w:r w:rsidR="0075759B">
          <w:rPr>
            <w:noProof/>
            <w:webHidden/>
          </w:rPr>
        </w:r>
        <w:r w:rsidR="0075759B">
          <w:rPr>
            <w:noProof/>
            <w:webHidden/>
          </w:rPr>
          <w:fldChar w:fldCharType="separate"/>
        </w:r>
        <w:r w:rsidR="0075759B">
          <w:rPr>
            <w:noProof/>
            <w:webHidden/>
          </w:rPr>
          <w:t>5</w:t>
        </w:r>
        <w:r w:rsidR="0075759B">
          <w:rPr>
            <w:noProof/>
            <w:webHidden/>
          </w:rPr>
          <w:fldChar w:fldCharType="end"/>
        </w:r>
      </w:hyperlink>
    </w:p>
    <w:p w14:paraId="5F0CB4A0" w14:textId="77777777" w:rsidR="0075759B" w:rsidRDefault="0072332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bidi="ar-SA"/>
        </w:rPr>
      </w:pPr>
      <w:hyperlink w:anchor="_Toc503943268" w:history="1">
        <w:r w:rsidR="0075759B" w:rsidRPr="00ED5C50">
          <w:rPr>
            <w:rStyle w:val="Hyperlink"/>
            <w:noProof/>
          </w:rPr>
          <w:t>6.</w:t>
        </w:r>
        <w:r w:rsidR="0075759B">
          <w:rPr>
            <w:rFonts w:asciiTheme="minorHAnsi" w:eastAsiaTheme="minorEastAsia" w:hAnsiTheme="minorHAnsi" w:cstheme="minorBidi"/>
            <w:b w:val="0"/>
            <w:bCs w:val="0"/>
            <w:caps w:val="0"/>
            <w:noProof/>
            <w:sz w:val="22"/>
            <w:szCs w:val="22"/>
            <w:lang w:val="hr-HR" w:eastAsia="zh-CN" w:bidi="ar-SA"/>
          </w:rPr>
          <w:tab/>
        </w:r>
        <w:r w:rsidR="0075759B" w:rsidRPr="00ED5C50">
          <w:rPr>
            <w:rStyle w:val="Hyperlink"/>
            <w:noProof/>
          </w:rPr>
          <w:t>Apéndices</w:t>
        </w:r>
        <w:r w:rsidR="0075759B">
          <w:rPr>
            <w:noProof/>
            <w:webHidden/>
          </w:rPr>
          <w:tab/>
        </w:r>
        <w:r w:rsidR="0075759B">
          <w:rPr>
            <w:noProof/>
            <w:webHidden/>
          </w:rPr>
          <w:fldChar w:fldCharType="begin"/>
        </w:r>
        <w:r w:rsidR="0075759B">
          <w:rPr>
            <w:noProof/>
            <w:webHidden/>
          </w:rPr>
          <w:instrText xml:space="preserve"> PAGEREF _Toc503943268 \h </w:instrText>
        </w:r>
        <w:r w:rsidR="0075759B">
          <w:rPr>
            <w:noProof/>
            <w:webHidden/>
          </w:rPr>
        </w:r>
        <w:r w:rsidR="0075759B">
          <w:rPr>
            <w:noProof/>
            <w:webHidden/>
          </w:rPr>
          <w:fldChar w:fldCharType="separate"/>
        </w:r>
        <w:r w:rsidR="0075759B">
          <w:rPr>
            <w:noProof/>
            <w:webHidden/>
          </w:rPr>
          <w:t>5</w:t>
        </w:r>
        <w:r w:rsidR="0075759B">
          <w:rPr>
            <w:noProof/>
            <w:webHidden/>
          </w:rPr>
          <w:fldChar w:fldCharType="end"/>
        </w:r>
      </w:hyperlink>
    </w:p>
    <w:p w14:paraId="057A52CB" w14:textId="77777777" w:rsidR="00717780" w:rsidRDefault="00A21F09">
      <w:pPr>
        <w:pStyle w:val="TOC1"/>
        <w:tabs>
          <w:tab w:val="left" w:pos="440"/>
          <w:tab w:val="right" w:leader="dot" w:pos="9062"/>
        </w:tabs>
        <w:rPr>
          <w:rFonts w:asciiTheme="minorHAnsi" w:eastAsiaTheme="minorEastAsia" w:hAnsiTheme="minorHAnsi" w:cstheme="minorBidi"/>
          <w:b w:val="0"/>
          <w:bCs w:val="0"/>
          <w:caps w:val="0"/>
          <w:sz w:val="22"/>
          <w:szCs w:val="22"/>
        </w:rPr>
      </w:pPr>
      <w:r>
        <w:fldChar w:fldCharType="end"/>
      </w:r>
    </w:p>
    <w:p w14:paraId="40C6E21B" w14:textId="77777777" w:rsidR="00717780" w:rsidRDefault="00717780"/>
    <w:p w14:paraId="28DCEDAB" w14:textId="77777777" w:rsidR="00717780" w:rsidRDefault="00717780"/>
    <w:p w14:paraId="3E967404" w14:textId="77777777" w:rsidR="00717780" w:rsidRDefault="00717780"/>
    <w:p w14:paraId="2CED8E74" w14:textId="77777777" w:rsidR="00717780" w:rsidRDefault="00A21F09">
      <w:pPr>
        <w:pStyle w:val="Heading1"/>
      </w:pPr>
      <w:r>
        <w:br w:type="page"/>
      </w:r>
      <w:bookmarkStart w:id="3" w:name="_Toc263078249"/>
      <w:bookmarkStart w:id="4" w:name="_Toc367543855"/>
      <w:bookmarkStart w:id="5" w:name="_Toc503943259"/>
      <w:r>
        <w:lastRenderedPageBreak/>
        <w:t>Objetivo, alcance y usuarios</w:t>
      </w:r>
      <w:bookmarkEnd w:id="3"/>
      <w:bookmarkEnd w:id="4"/>
      <w:bookmarkEnd w:id="5"/>
    </w:p>
    <w:p w14:paraId="307EB92E" w14:textId="77777777" w:rsidR="00717780" w:rsidRDefault="00A21F09">
      <w:r>
        <w:t>El objetivo de este procedimiento es definir un proceso para una probar, analizar y evaluar de manera periódica la efectividad de medidas técnicas y organizativas para garantizar la seguridad del tratamiento de datos</w:t>
      </w:r>
      <w:r>
        <w:rPr>
          <w:lang w:val="en-US"/>
        </w:rPr>
        <w:t xml:space="preserve">. </w:t>
      </w:r>
    </w:p>
    <w:p w14:paraId="0892E6AA" w14:textId="77777777" w:rsidR="00717780" w:rsidRDefault="00A21F09">
      <w:r>
        <w:t>Este procedimiento se aplica a todas las actividades de tratamiento de datos.</w:t>
      </w:r>
    </w:p>
    <w:p w14:paraId="06A7D024" w14:textId="77777777" w:rsidR="00717780" w:rsidRDefault="00A21F09">
      <w:r>
        <w:t>Los usuarios de este documento son [</w:t>
      </w:r>
      <w:commentRangeStart w:id="6"/>
      <w:r>
        <w:t>miembros de la alta gerencia</w:t>
      </w:r>
      <w:commentRangeEnd w:id="6"/>
      <w:r w:rsidR="0075759B">
        <w:rPr>
          <w:rStyle w:val="CommentReference"/>
        </w:rPr>
        <w:commentReference w:id="6"/>
      </w:r>
      <w:r>
        <w:t xml:space="preserve">] de [nombre de la organización] y los auditores internos. </w:t>
      </w:r>
    </w:p>
    <w:p w14:paraId="6EE8BA62" w14:textId="77777777" w:rsidR="00717780" w:rsidRDefault="00717780"/>
    <w:p w14:paraId="7143427A" w14:textId="77777777" w:rsidR="00717780" w:rsidRDefault="00A21F09">
      <w:pPr>
        <w:pStyle w:val="Heading1"/>
      </w:pPr>
      <w:bookmarkStart w:id="7" w:name="_Toc263078250"/>
      <w:bookmarkStart w:id="8" w:name="_Toc367543856"/>
      <w:bookmarkStart w:id="9" w:name="_Toc503943260"/>
      <w:r>
        <w:t>Documentos de referencia</w:t>
      </w:r>
      <w:bookmarkEnd w:id="7"/>
      <w:bookmarkEnd w:id="8"/>
      <w:bookmarkEnd w:id="9"/>
    </w:p>
    <w:p w14:paraId="3C5A2C58" w14:textId="77777777" w:rsidR="00717780" w:rsidRDefault="00A21F09">
      <w:pPr>
        <w:numPr>
          <w:ilvl w:val="0"/>
          <w:numId w:val="2"/>
        </w:numPr>
        <w:spacing w:after="0"/>
      </w:pPr>
      <w:r>
        <w:t xml:space="preserve">Norma ISO/IEC 27001, </w:t>
      </w:r>
      <w:r>
        <w:rPr>
          <w:lang w:val="en-US"/>
        </w:rPr>
        <w:t>cl</w:t>
      </w:r>
      <w:r>
        <w:t>áusula</w:t>
      </w:r>
      <w:r>
        <w:rPr>
          <w:lang w:val="en-US"/>
        </w:rPr>
        <w:t xml:space="preserve"> 9.2, An</w:t>
      </w:r>
      <w:r>
        <w:t>exo</w:t>
      </w:r>
      <w:r>
        <w:rPr>
          <w:lang w:val="en-US"/>
        </w:rPr>
        <w:t xml:space="preserve"> A</w:t>
      </w:r>
    </w:p>
    <w:p w14:paraId="6A6406B4" w14:textId="77777777" w:rsidR="00717780" w:rsidRDefault="00A21F09">
      <w:pPr>
        <w:numPr>
          <w:ilvl w:val="0"/>
          <w:numId w:val="2"/>
        </w:numPr>
        <w:spacing w:after="0"/>
      </w:pPr>
      <w:r>
        <w:t xml:space="preserve">Artículo </w:t>
      </w:r>
      <w:r>
        <w:rPr>
          <w:lang w:val="en-US"/>
        </w:rPr>
        <w:t>32 (1) (d)</w:t>
      </w:r>
      <w:r>
        <w:t xml:space="preserve"> RGPD UE</w:t>
      </w:r>
    </w:p>
    <w:p w14:paraId="1A622652" w14:textId="77777777" w:rsidR="00717780" w:rsidRDefault="00717780"/>
    <w:p w14:paraId="4264E617" w14:textId="77777777" w:rsidR="00717780" w:rsidRDefault="0075759B">
      <w:pPr>
        <w:pStyle w:val="Heading1"/>
      </w:pPr>
      <w:bookmarkStart w:id="10" w:name="_Toc263078251"/>
      <w:bookmarkStart w:id="11" w:name="_Toc367543857"/>
      <w:bookmarkStart w:id="12" w:name="_Toc503943261"/>
      <w:r>
        <w:t>Auditoria</w:t>
      </w:r>
      <w:r w:rsidR="00A21F09">
        <w:t xml:space="preserve"> interna</w:t>
      </w:r>
      <w:bookmarkEnd w:id="10"/>
      <w:bookmarkEnd w:id="11"/>
      <w:bookmarkEnd w:id="12"/>
    </w:p>
    <w:p w14:paraId="33DBD314" w14:textId="77777777" w:rsidR="00717780" w:rsidRDefault="00A21F09">
      <w:pPr>
        <w:pStyle w:val="Heading2"/>
      </w:pPr>
      <w:bookmarkStart w:id="13" w:name="_Toc263078252"/>
      <w:bookmarkStart w:id="14" w:name="_Toc367543858"/>
      <w:bookmarkStart w:id="15" w:name="_Toc503943262"/>
      <w:r>
        <w:t>Objetivo de la auditoria interna</w:t>
      </w:r>
      <w:bookmarkEnd w:id="13"/>
      <w:bookmarkEnd w:id="14"/>
      <w:bookmarkEnd w:id="15"/>
    </w:p>
    <w:p w14:paraId="133D6E20" w14:textId="77777777" w:rsidR="00717780" w:rsidRDefault="00A21F09">
      <w:r>
        <w:t>El objetivo de la auditoria interna es determinar si los procedimientos, controles, procesos, acuerdos y demás actividades para actividades de tratamiento de datos personales que cumplen con los reglamentos correspondientes y con la documentación interna de la organización; como también verificar si son implementados y sostenidos y si cumplen requisitos de políticas y establecen objetivos.</w:t>
      </w:r>
    </w:p>
    <w:p w14:paraId="36B67C85" w14:textId="77777777" w:rsidR="00717780" w:rsidRDefault="00A21F09">
      <w:pPr>
        <w:pStyle w:val="Heading2"/>
      </w:pPr>
      <w:bookmarkStart w:id="16" w:name="_Toc367543859"/>
      <w:bookmarkStart w:id="17" w:name="_Toc503943263"/>
      <w:r>
        <w:t>Planificación de la auditoria interna</w:t>
      </w:r>
      <w:bookmarkEnd w:id="16"/>
      <w:bookmarkEnd w:id="17"/>
    </w:p>
    <w:p w14:paraId="11D3CB51" w14:textId="77777777" w:rsidR="00717780" w:rsidRDefault="00A21F09">
      <w:r>
        <w:t>Se deben realizar una o más auditorias internas en el transcurso de un año, asegurando una cobertura acumulativa de todas las actividades de tratamiento de datos personales. Las auditorias internas son planificadas en base a la evaluación de riesgos, como también por los resultados de auditorias anteriores. Generalmente son realizadas antes de la revisión por parte de la gerencia.</w:t>
      </w:r>
    </w:p>
    <w:p w14:paraId="261A385A" w14:textId="77777777" w:rsidR="00367A09" w:rsidRDefault="00367A09"/>
    <w:p w14:paraId="04334376" w14:textId="77777777" w:rsidR="00367A09" w:rsidRDefault="00367A09" w:rsidP="00367A09">
      <w:pPr>
        <w:spacing w:line="240" w:lineRule="auto"/>
        <w:jc w:val="center"/>
        <w:rPr>
          <w:lang w:eastAsia="en-US"/>
        </w:rPr>
      </w:pPr>
      <w:r>
        <w:rPr>
          <w:lang w:eastAsia="en-US"/>
        </w:rPr>
        <w:t>** FIN DE MUESTRA GRATIS **</w:t>
      </w:r>
    </w:p>
    <w:p w14:paraId="56F09DF9" w14:textId="659E1D2A" w:rsidR="00367A09" w:rsidRDefault="00367A09" w:rsidP="00367A09">
      <w:pPr>
        <w:jc w:val="center"/>
      </w:pPr>
      <w:r>
        <w:rPr>
          <w:lang w:eastAsia="en-US"/>
        </w:rPr>
        <w:t>Para descargar la versión completa de este documento haga clic aquí:</w:t>
      </w:r>
      <w:r>
        <w:rPr>
          <w:lang w:eastAsia="en-US"/>
        </w:rPr>
        <w:br/>
      </w:r>
      <w:hyperlink r:id="rId11" w:history="1">
        <w:r w:rsidRPr="0022166B">
          <w:rPr>
            <w:rStyle w:val="Hyperlink"/>
            <w:rFonts w:cstheme="minorHAnsi"/>
          </w:rPr>
          <w:t>https://advisera.com/eugdpracademy/es/documentation/procedimiento-para-auditoria-interna/</w:t>
        </w:r>
      </w:hyperlink>
      <w:r>
        <w:rPr>
          <w:rFonts w:cstheme="minorHAnsi"/>
        </w:rPr>
        <w:t xml:space="preserve"> </w:t>
      </w:r>
    </w:p>
    <w:sectPr w:rsidR="00367A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7T09:01:00Z" w:initials="EU GDPR">
    <w:p w14:paraId="46EE417A" w14:textId="77777777" w:rsidR="0075759B" w:rsidRDefault="0075759B">
      <w:pPr>
        <w:pStyle w:val="CommentText"/>
      </w:pPr>
      <w:r>
        <w:rPr>
          <w:rStyle w:val="CommentReference"/>
        </w:rPr>
        <w:annotationRef/>
      </w:r>
      <w:r>
        <w:t>Se deben completar todos los campos de este documento que estén marcados con corchetes [ ].</w:t>
      </w:r>
    </w:p>
  </w:comment>
  <w:comment w:id="1" w:author="EUGDPRAcademy" w:date="2018-01-16T15:56:00Z" w:initials="EU GDPR">
    <w:p w14:paraId="3D52D0C5" w14:textId="77777777" w:rsidR="00717780" w:rsidRDefault="00A21F09">
      <w:pPr>
        <w:pStyle w:val="CommentText"/>
      </w:pPr>
      <w:r>
        <w:t xml:space="preserve">Para saber más sobre este tema, lee este artículo: </w:t>
      </w:r>
    </w:p>
    <w:p w14:paraId="2D1FDB2D" w14:textId="77777777" w:rsidR="00717780" w:rsidRDefault="00717780">
      <w:pPr>
        <w:pStyle w:val="CommentText"/>
      </w:pPr>
    </w:p>
    <w:p w14:paraId="3A281D5F" w14:textId="77777777" w:rsidR="00717780" w:rsidRDefault="00A21F09">
      <w:pPr>
        <w:pStyle w:val="CommentText"/>
      </w:pPr>
      <w:r>
        <w:t>Cómo prepararse para una auditoria interna de ISO 27001</w:t>
      </w:r>
    </w:p>
    <w:p w14:paraId="2FFB9F0D" w14:textId="77777777" w:rsidR="00717780" w:rsidRDefault="00723321">
      <w:pPr>
        <w:pStyle w:val="CommentText"/>
      </w:pPr>
      <w:hyperlink r:id="rId1" w:history="1">
        <w:r w:rsidR="00A21F09">
          <w:rPr>
            <w:rStyle w:val="Hyperlink"/>
          </w:rPr>
          <w:t>http://advisera.com/27001academy/blog/2016/07/11/how-to-prepare-for-an-iso-27001-internal-audit/</w:t>
        </w:r>
      </w:hyperlink>
      <w:r w:rsidR="00A21F09">
        <w:t xml:space="preserve"> </w:t>
      </w:r>
    </w:p>
    <w:p w14:paraId="631191E2" w14:textId="77777777" w:rsidR="00717780" w:rsidRDefault="00717780">
      <w:pPr>
        <w:pStyle w:val="CommentText"/>
      </w:pPr>
    </w:p>
    <w:p w14:paraId="341674FA" w14:textId="77777777" w:rsidR="00717780" w:rsidRDefault="00A21F09">
      <w:pPr>
        <w:pStyle w:val="CommentText"/>
      </w:pPr>
      <w:r>
        <w:t xml:space="preserve">Además asiste a este curso de capacitación en línea gratuito de Auditor interno de ISO 27001 </w:t>
      </w:r>
      <w:hyperlink r:id="rId2" w:history="1">
        <w:r>
          <w:rPr>
            <w:rStyle w:val="Hyperlink"/>
          </w:rPr>
          <w:t>http://training.advisera.com/course/iso-27001-internal-auditor-course/</w:t>
        </w:r>
      </w:hyperlink>
      <w:r>
        <w:t xml:space="preserve">   </w:t>
      </w:r>
    </w:p>
  </w:comment>
  <w:comment w:id="2" w:author="EUGDPRAcademy" w:date="2018-01-17T09:02:00Z" w:initials="EU GDPR">
    <w:p w14:paraId="5C92678C" w14:textId="77777777" w:rsidR="0075759B" w:rsidRDefault="0075759B">
      <w:pPr>
        <w:pStyle w:val="CommentText"/>
      </w:pP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6" w:author="EUGDPRAcademy" w:date="2018-01-17T09:02:00Z" w:initials="EU GDPR">
    <w:p w14:paraId="779B3FB2" w14:textId="77777777" w:rsidR="0075759B" w:rsidRDefault="0075759B">
      <w:pPr>
        <w:pStyle w:val="CommentText"/>
      </w:pPr>
      <w:r>
        <w:rPr>
          <w:rStyle w:val="CommentReference"/>
        </w:rPr>
        <w:annotationRef/>
      </w:r>
      <w:r>
        <w:t>El organismo directivo supremo dentro del alcance del SGSI/SGCN.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EE417A" w15:done="0"/>
  <w15:commentEx w15:paraId="341674FA" w15:done="0"/>
  <w15:commentEx w15:paraId="5C92678C" w15:done="0"/>
  <w15:commentEx w15:paraId="779B3F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2D5F5" w14:textId="77777777" w:rsidR="00723321" w:rsidRDefault="00723321">
      <w:pPr>
        <w:spacing w:after="0" w:line="240" w:lineRule="auto"/>
      </w:pPr>
      <w:r>
        <w:separator/>
      </w:r>
    </w:p>
  </w:endnote>
  <w:endnote w:type="continuationSeparator" w:id="0">
    <w:p w14:paraId="32E74E28" w14:textId="77777777" w:rsidR="00723321" w:rsidRDefault="00723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19C1E" w14:textId="77777777" w:rsidR="00BF50BE" w:rsidRDefault="00BF50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ayout w:type="fixed"/>
      <w:tblLook w:val="04A0" w:firstRow="1" w:lastRow="0" w:firstColumn="1" w:lastColumn="0" w:noHBand="0" w:noVBand="1"/>
    </w:tblPr>
    <w:tblGrid>
      <w:gridCol w:w="3369"/>
      <w:gridCol w:w="2268"/>
      <w:gridCol w:w="3685"/>
    </w:tblGrid>
    <w:tr w:rsidR="00717780" w14:paraId="27453628" w14:textId="77777777">
      <w:tc>
        <w:tcPr>
          <w:tcW w:w="3369" w:type="dxa"/>
        </w:tcPr>
        <w:p w14:paraId="059D039B" w14:textId="77777777" w:rsidR="00717780" w:rsidRDefault="00A21F09">
          <w:pPr>
            <w:pStyle w:val="Footer"/>
            <w:rPr>
              <w:sz w:val="18"/>
              <w:szCs w:val="18"/>
            </w:rPr>
          </w:pPr>
          <w:r>
            <w:rPr>
              <w:sz w:val="18"/>
            </w:rPr>
            <w:t xml:space="preserve">Procedimiento para </w:t>
          </w:r>
          <w:r w:rsidR="0075759B">
            <w:rPr>
              <w:sz w:val="18"/>
            </w:rPr>
            <w:t>A</w:t>
          </w:r>
          <w:r>
            <w:rPr>
              <w:sz w:val="18"/>
            </w:rPr>
            <w:t>uditoria Interna</w:t>
          </w:r>
        </w:p>
      </w:tc>
      <w:tc>
        <w:tcPr>
          <w:tcW w:w="2268" w:type="dxa"/>
        </w:tcPr>
        <w:p w14:paraId="73A008AE" w14:textId="77777777" w:rsidR="00717780" w:rsidRDefault="00A21F09">
          <w:pPr>
            <w:pStyle w:val="Footer"/>
            <w:jc w:val="center"/>
            <w:rPr>
              <w:sz w:val="18"/>
              <w:szCs w:val="18"/>
            </w:rPr>
          </w:pPr>
          <w:r>
            <w:rPr>
              <w:sz w:val="18"/>
            </w:rPr>
            <w:t>ver [versión] de [fecha]</w:t>
          </w:r>
        </w:p>
      </w:tc>
      <w:tc>
        <w:tcPr>
          <w:tcW w:w="3685" w:type="dxa"/>
        </w:tcPr>
        <w:p w14:paraId="5D79DDF7" w14:textId="77777777" w:rsidR="00717780" w:rsidRDefault="00A21F09">
          <w:pPr>
            <w:pStyle w:val="Footer"/>
            <w:jc w:val="right"/>
            <w:rPr>
              <w:b/>
              <w:sz w:val="18"/>
              <w:szCs w:val="18"/>
            </w:rPr>
          </w:pPr>
          <w:r>
            <w:rPr>
              <w:sz w:val="18"/>
            </w:rPr>
            <w:t xml:space="preserve">Página </w:t>
          </w:r>
          <w:r>
            <w:rPr>
              <w:b/>
              <w:sz w:val="18"/>
            </w:rPr>
            <w:fldChar w:fldCharType="begin"/>
          </w:r>
          <w:r>
            <w:rPr>
              <w:b/>
              <w:sz w:val="18"/>
            </w:rPr>
            <w:instrText xml:space="preserve"> PAGE </w:instrText>
          </w:r>
          <w:r>
            <w:rPr>
              <w:b/>
              <w:sz w:val="18"/>
            </w:rPr>
            <w:fldChar w:fldCharType="separate"/>
          </w:r>
          <w:r w:rsidR="00BF50BE">
            <w:rPr>
              <w:b/>
              <w:noProof/>
              <w:sz w:val="18"/>
            </w:rPr>
            <w:t>2</w:t>
          </w:r>
          <w:r>
            <w:rPr>
              <w:b/>
              <w:sz w:val="18"/>
            </w:rPr>
            <w:fldChar w:fldCharType="end"/>
          </w:r>
          <w:r>
            <w:rPr>
              <w:sz w:val="18"/>
            </w:rPr>
            <w:t xml:space="preserve"> de </w:t>
          </w:r>
          <w:r>
            <w:rPr>
              <w:b/>
              <w:sz w:val="18"/>
            </w:rPr>
            <w:fldChar w:fldCharType="begin"/>
          </w:r>
          <w:r>
            <w:rPr>
              <w:b/>
              <w:sz w:val="18"/>
            </w:rPr>
            <w:instrText xml:space="preserve"> NUMPAGES  </w:instrText>
          </w:r>
          <w:r>
            <w:rPr>
              <w:b/>
              <w:sz w:val="18"/>
            </w:rPr>
            <w:fldChar w:fldCharType="separate"/>
          </w:r>
          <w:r w:rsidR="00BF50BE">
            <w:rPr>
              <w:b/>
              <w:noProof/>
              <w:sz w:val="18"/>
            </w:rPr>
            <w:t>3</w:t>
          </w:r>
          <w:r>
            <w:rPr>
              <w:b/>
              <w:sz w:val="18"/>
            </w:rPr>
            <w:fldChar w:fldCharType="end"/>
          </w:r>
        </w:p>
      </w:tc>
    </w:tr>
  </w:tbl>
  <w:p w14:paraId="253B65D0" w14:textId="3405B6B0" w:rsidR="00717780" w:rsidRDefault="00BF50BE" w:rsidP="00BF50BE">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18" w:name="_GoBack"/>
    <w:bookmarkEnd w:id="18"/>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036A0" w14:textId="3F106F24" w:rsidR="00717780" w:rsidRPr="00BF50BE" w:rsidRDefault="00BF50BE" w:rsidP="00BF50BE">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962FC" w14:textId="77777777" w:rsidR="00723321" w:rsidRDefault="00723321">
      <w:pPr>
        <w:spacing w:after="0" w:line="240" w:lineRule="auto"/>
      </w:pPr>
      <w:r>
        <w:separator/>
      </w:r>
    </w:p>
  </w:footnote>
  <w:footnote w:type="continuationSeparator" w:id="0">
    <w:p w14:paraId="713C2E88" w14:textId="77777777" w:rsidR="00723321" w:rsidRDefault="00723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5F283" w14:textId="77777777" w:rsidR="00BF50BE" w:rsidRDefault="00BF50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000000"/>
        <w:insideH w:val="single" w:sz="4" w:space="0" w:color="000000"/>
      </w:tblBorders>
      <w:tblLayout w:type="fixed"/>
      <w:tblLook w:val="04A0" w:firstRow="1" w:lastRow="0" w:firstColumn="1" w:lastColumn="0" w:noHBand="0" w:noVBand="1"/>
    </w:tblPr>
    <w:tblGrid>
      <w:gridCol w:w="6771"/>
      <w:gridCol w:w="2517"/>
    </w:tblGrid>
    <w:tr w:rsidR="00717780" w14:paraId="68E1FC3F" w14:textId="77777777">
      <w:tc>
        <w:tcPr>
          <w:tcW w:w="6771" w:type="dxa"/>
        </w:tcPr>
        <w:p w14:paraId="485415CA" w14:textId="77777777" w:rsidR="00717780" w:rsidRDefault="00A21F09">
          <w:pPr>
            <w:pStyle w:val="Header"/>
            <w:spacing w:after="0"/>
            <w:rPr>
              <w:sz w:val="20"/>
              <w:szCs w:val="20"/>
            </w:rPr>
          </w:pPr>
          <w:r>
            <w:rPr>
              <w:sz w:val="20"/>
            </w:rPr>
            <w:t xml:space="preserve"> [nombre de la organización]</w:t>
          </w:r>
        </w:p>
      </w:tc>
      <w:tc>
        <w:tcPr>
          <w:tcW w:w="2517" w:type="dxa"/>
        </w:tcPr>
        <w:p w14:paraId="5CD4C04C" w14:textId="77777777" w:rsidR="00717780" w:rsidRDefault="00A21F09">
          <w:pPr>
            <w:pStyle w:val="Header"/>
            <w:spacing w:after="0"/>
            <w:jc w:val="right"/>
            <w:rPr>
              <w:sz w:val="20"/>
              <w:szCs w:val="20"/>
            </w:rPr>
          </w:pPr>
          <w:r>
            <w:rPr>
              <w:sz w:val="20"/>
            </w:rPr>
            <w:t>[nivel de confidencialidad]</w:t>
          </w:r>
        </w:p>
      </w:tc>
    </w:tr>
  </w:tbl>
  <w:p w14:paraId="4096F885" w14:textId="77777777" w:rsidR="00717780" w:rsidRDefault="00717780">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8B884" w14:textId="77777777" w:rsidR="00BF50BE" w:rsidRDefault="00BF50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559E"/>
    <w:multiLevelType w:val="multilevel"/>
    <w:tmpl w:val="01BD559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DBF1AB0"/>
    <w:multiLevelType w:val="multilevel"/>
    <w:tmpl w:val="0DBF1A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2A2644D"/>
    <w:multiLevelType w:val="multilevel"/>
    <w:tmpl w:val="22A2644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92601A0"/>
    <w:multiLevelType w:val="multilevel"/>
    <w:tmpl w:val="492601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DA85C07"/>
    <w:multiLevelType w:val="multilevel"/>
    <w:tmpl w:val="4DA85C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1AF7CAF"/>
    <w:multiLevelType w:val="multilevel"/>
    <w:tmpl w:val="51AF7C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E813449"/>
    <w:multiLevelType w:val="multilevel"/>
    <w:tmpl w:val="5E81344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6F7E"/>
    <w:rsid w:val="0007717B"/>
    <w:rsid w:val="000A10A4"/>
    <w:rsid w:val="000B3DA3"/>
    <w:rsid w:val="000C0DC6"/>
    <w:rsid w:val="000C1731"/>
    <w:rsid w:val="000F7AB9"/>
    <w:rsid w:val="0012693F"/>
    <w:rsid w:val="00131E09"/>
    <w:rsid w:val="00161952"/>
    <w:rsid w:val="0017399D"/>
    <w:rsid w:val="001B6111"/>
    <w:rsid w:val="00291D00"/>
    <w:rsid w:val="00293195"/>
    <w:rsid w:val="00321278"/>
    <w:rsid w:val="00321834"/>
    <w:rsid w:val="00356477"/>
    <w:rsid w:val="00367A09"/>
    <w:rsid w:val="003B7321"/>
    <w:rsid w:val="00406C2A"/>
    <w:rsid w:val="00412B9F"/>
    <w:rsid w:val="00494B5D"/>
    <w:rsid w:val="00507BC7"/>
    <w:rsid w:val="00520724"/>
    <w:rsid w:val="0053648E"/>
    <w:rsid w:val="00570A8D"/>
    <w:rsid w:val="005E3A88"/>
    <w:rsid w:val="006273A4"/>
    <w:rsid w:val="006502A4"/>
    <w:rsid w:val="00651375"/>
    <w:rsid w:val="00687C6E"/>
    <w:rsid w:val="00687CEE"/>
    <w:rsid w:val="006B096D"/>
    <w:rsid w:val="006D3EBC"/>
    <w:rsid w:val="00717780"/>
    <w:rsid w:val="00723321"/>
    <w:rsid w:val="00741559"/>
    <w:rsid w:val="0075759B"/>
    <w:rsid w:val="007C3F3D"/>
    <w:rsid w:val="007D2DF9"/>
    <w:rsid w:val="007D4B9B"/>
    <w:rsid w:val="00802752"/>
    <w:rsid w:val="00834794"/>
    <w:rsid w:val="008604BA"/>
    <w:rsid w:val="008D4217"/>
    <w:rsid w:val="008F61ED"/>
    <w:rsid w:val="00927DFD"/>
    <w:rsid w:val="00955EA1"/>
    <w:rsid w:val="00960495"/>
    <w:rsid w:val="009616D7"/>
    <w:rsid w:val="00964210"/>
    <w:rsid w:val="0097030A"/>
    <w:rsid w:val="009C470E"/>
    <w:rsid w:val="009E1428"/>
    <w:rsid w:val="009E77E6"/>
    <w:rsid w:val="009F3AFC"/>
    <w:rsid w:val="00A21F09"/>
    <w:rsid w:val="00A36DA4"/>
    <w:rsid w:val="00AA2AE9"/>
    <w:rsid w:val="00AA492B"/>
    <w:rsid w:val="00AC7B98"/>
    <w:rsid w:val="00AD6E54"/>
    <w:rsid w:val="00AE035F"/>
    <w:rsid w:val="00AE456F"/>
    <w:rsid w:val="00AE69F6"/>
    <w:rsid w:val="00B12669"/>
    <w:rsid w:val="00B15302"/>
    <w:rsid w:val="00B225EF"/>
    <w:rsid w:val="00BB1F88"/>
    <w:rsid w:val="00BB66F0"/>
    <w:rsid w:val="00BD0724"/>
    <w:rsid w:val="00BF50BE"/>
    <w:rsid w:val="00C028C0"/>
    <w:rsid w:val="00C47B89"/>
    <w:rsid w:val="00CA23AF"/>
    <w:rsid w:val="00CD1E63"/>
    <w:rsid w:val="00CD3584"/>
    <w:rsid w:val="00CF739D"/>
    <w:rsid w:val="00D301A4"/>
    <w:rsid w:val="00D318C3"/>
    <w:rsid w:val="00D3674A"/>
    <w:rsid w:val="00D45AF7"/>
    <w:rsid w:val="00D72078"/>
    <w:rsid w:val="00D87153"/>
    <w:rsid w:val="00D94B43"/>
    <w:rsid w:val="00E00192"/>
    <w:rsid w:val="00E46AD9"/>
    <w:rsid w:val="00E82B50"/>
    <w:rsid w:val="00EA129F"/>
    <w:rsid w:val="00EE4DB6"/>
    <w:rsid w:val="00F359F1"/>
    <w:rsid w:val="00F3677B"/>
    <w:rsid w:val="00F51CAB"/>
    <w:rsid w:val="00F61E7D"/>
    <w:rsid w:val="00F66238"/>
    <w:rsid w:val="00F86933"/>
    <w:rsid w:val="00F90247"/>
    <w:rsid w:val="11D24FF7"/>
    <w:rsid w:val="22B9541F"/>
    <w:rsid w:val="28382F5C"/>
    <w:rsid w:val="2A750EDC"/>
    <w:rsid w:val="38875FB1"/>
    <w:rsid w:val="4FB9650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62560"/>
  <w15:docId w15:val="{97827DC4-C380-4DEF-BF5F-F29382F7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lsdException w:name="toc 5" w:uiPriority="39" w:unhideWhenUsed="1" w:qFormat="1"/>
    <w:lsdException w:name="toc 6" w:uiPriority="39" w:unhideWhenUsed="1"/>
    <w:lsdException w:name="toc 7" w:uiPriority="39" w:unhideWhenUsed="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s-ES" w:eastAsia="es-ES" w:bidi="es-E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pPr>
      <w:spacing w:after="0"/>
      <w:ind w:left="1760"/>
    </w:pPr>
    <w:rPr>
      <w:sz w:val="18"/>
      <w:szCs w:val="18"/>
    </w:rPr>
  </w:style>
  <w:style w:type="paragraph" w:styleId="TOC7">
    <w:name w:val="toc 7"/>
    <w:basedOn w:val="Normal"/>
    <w:next w:val="Normal"/>
    <w:uiPriority w:val="39"/>
    <w:unhideWhenUsed/>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TOC6">
    <w:name w:val="toc 6"/>
    <w:basedOn w:val="Normal"/>
    <w:next w:val="Normal"/>
    <w:uiPriority w:val="39"/>
    <w:unhideWhenUsed/>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Footer">
    <w:name w:val="footer"/>
    <w:basedOn w:val="Normal"/>
    <w:link w:val="FooterChar"/>
    <w:unhideWhenUsed/>
    <w:qFormat/>
    <w:pPr>
      <w:tabs>
        <w:tab w:val="center" w:pos="4536"/>
        <w:tab w:val="right" w:pos="9072"/>
      </w:tabs>
    </w:pPr>
  </w:style>
  <w:style w:type="character" w:styleId="CommentReference">
    <w:name w:val="annotation reference"/>
    <w:basedOn w:val="DefaultParagraphFont"/>
    <w:uiPriority w:val="99"/>
    <w:unhideWhenUsed/>
    <w:rPr>
      <w:sz w:val="16"/>
      <w:szCs w:val="16"/>
      <w:lang w:val="es-ES"/>
    </w:rPr>
  </w:style>
  <w:style w:type="character" w:styleId="Hyperlink">
    <w:name w:val="Hyperlink"/>
    <w:basedOn w:val="DefaultParagraphFont"/>
    <w:uiPriority w:val="99"/>
    <w:unhideWhenUsed/>
    <w:rPr>
      <w:color w:val="0000FF"/>
      <w:u w:val="single"/>
      <w:lang w:val="es-E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qFormat/>
    <w:rPr>
      <w:sz w:val="22"/>
      <w:szCs w:val="22"/>
      <w:lang w:val="es-ES" w:eastAsia="es-ES"/>
    </w:rPr>
  </w:style>
  <w:style w:type="character" w:customStyle="1" w:styleId="FooterChar">
    <w:name w:val="Footer Char"/>
    <w:basedOn w:val="DefaultParagraphFont"/>
    <w:link w:val="Footer"/>
    <w:uiPriority w:val="99"/>
    <w:qFormat/>
    <w:rPr>
      <w:sz w:val="22"/>
      <w:szCs w:val="22"/>
      <w:lang w:val="es-ES" w:eastAsia="es-ES"/>
    </w:rPr>
  </w:style>
  <w:style w:type="character" w:customStyle="1" w:styleId="Heading1Char">
    <w:name w:val="Heading 1 Char"/>
    <w:basedOn w:val="DefaultParagraphFont"/>
    <w:link w:val="Heading1"/>
    <w:uiPriority w:val="9"/>
    <w:rPr>
      <w:b/>
      <w:sz w:val="28"/>
      <w:szCs w:val="28"/>
      <w:lang w:val="es-ES" w:eastAsia="es-ES"/>
    </w:rPr>
  </w:style>
  <w:style w:type="character" w:customStyle="1" w:styleId="CommentTextChar">
    <w:name w:val="Comment Text Char"/>
    <w:basedOn w:val="DefaultParagraphFont"/>
    <w:link w:val="CommentText"/>
    <w:uiPriority w:val="99"/>
    <w:qFormat/>
    <w:rPr>
      <w:lang w:val="es-ES" w:eastAsia="es-ES"/>
    </w:rPr>
  </w:style>
  <w:style w:type="character" w:customStyle="1" w:styleId="CommentSubjectChar">
    <w:name w:val="Comment Subject Char"/>
    <w:basedOn w:val="CommentTextChar"/>
    <w:link w:val="CommentSubject"/>
    <w:uiPriority w:val="99"/>
    <w:semiHidden/>
    <w:rPr>
      <w:b/>
      <w:bCs/>
      <w:lang w:val="es-ES" w:eastAsia="es-ES"/>
    </w:rPr>
  </w:style>
  <w:style w:type="character" w:customStyle="1" w:styleId="BalloonTextChar">
    <w:name w:val="Balloon Text Char"/>
    <w:basedOn w:val="DefaultParagraphFont"/>
    <w:link w:val="BalloonText"/>
    <w:uiPriority w:val="99"/>
    <w:semiHidden/>
    <w:rPr>
      <w:rFonts w:ascii="Tahoma" w:hAnsi="Tahoma" w:cs="Tahoma"/>
      <w:sz w:val="16"/>
      <w:szCs w:val="16"/>
      <w:lang w:val="es-ES" w:eastAsia="es-ES"/>
    </w:rPr>
  </w:style>
  <w:style w:type="character" w:customStyle="1" w:styleId="Heading2Char">
    <w:name w:val="Heading 2 Char"/>
    <w:basedOn w:val="DefaultParagraphFont"/>
    <w:link w:val="Heading2"/>
    <w:uiPriority w:val="9"/>
    <w:rPr>
      <w:b/>
      <w:sz w:val="24"/>
      <w:szCs w:val="24"/>
      <w:lang w:val="es-ES" w:eastAsia="es-ES"/>
    </w:rPr>
  </w:style>
  <w:style w:type="character" w:customStyle="1" w:styleId="Heading3Char">
    <w:name w:val="Heading 3 Char"/>
    <w:basedOn w:val="DefaultParagraphFont"/>
    <w:link w:val="Heading3"/>
    <w:uiPriority w:val="9"/>
    <w:qFormat/>
    <w:rPr>
      <w:b/>
      <w:i/>
      <w:sz w:val="22"/>
      <w:szCs w:val="22"/>
      <w:lang w:val="es-ES" w:eastAsia="es-ES"/>
    </w:rPr>
  </w:style>
  <w:style w:type="paragraph" w:customStyle="1" w:styleId="TOCHeading1">
    <w:name w:val="TOC Heading1"/>
    <w:basedOn w:val="Heading1"/>
    <w:next w:val="Normal"/>
    <w:uiPriority w:val="39"/>
    <w:unhideWhenUsed/>
    <w:qFormat/>
    <w:pPr>
      <w:keepNext/>
      <w:keepLines/>
      <w:numPr>
        <w:numId w:val="0"/>
      </w:numPr>
      <w:spacing w:before="480" w:after="0"/>
      <w:outlineLvl w:val="9"/>
    </w:pPr>
    <w:rPr>
      <w:rFonts w:ascii="Cambria" w:eastAsia="Times New Roman" w:hAnsi="Cambria"/>
      <w:bCs/>
      <w:color w:val="365F91"/>
    </w:rPr>
  </w:style>
  <w:style w:type="paragraph" w:customStyle="1" w:styleId="ListParagraph1">
    <w:name w:val="List Paragraph1"/>
    <w:basedOn w:val="Normal"/>
    <w:uiPriority w:val="34"/>
    <w:qFormat/>
    <w:pPr>
      <w:ind w:left="720"/>
      <w:contextualSpacing/>
    </w:pPr>
  </w:style>
  <w:style w:type="paragraph" w:customStyle="1" w:styleId="Revision1">
    <w:name w:val="Revision1"/>
    <w:hidden/>
    <w:uiPriority w:val="99"/>
    <w:semiHidden/>
    <w:qFormat/>
    <w:rPr>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procedimiento-para-auditoria-interna/"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24EC89-103B-492F-93B9-BF4DD9A0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Procedimiento para Auditoria Interna</vt:lpstr>
    </vt:vector>
  </TitlesOfParts>
  <Company>Advisera Expert Solutions Ltd</Company>
  <LinksUpToDate>false</LinksUpToDate>
  <CharactersWithSpaces>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para Auditoria Interna</dc:title>
  <dc:creator>EUGDPRAcademy</dc:creator>
  <dc:description>©2020 Los clientes de Advisera Expert Solutions Ltd. pueden utilizar esta plantilla de conformidad con el Contrato de licencia.</dc:description>
  <cp:lastModifiedBy>EUGDPRAcademy</cp:lastModifiedBy>
  <cp:revision>13</cp:revision>
  <dcterms:created xsi:type="dcterms:W3CDTF">2015-03-01T09:34:00Z</dcterms:created>
  <dcterms:modified xsi:type="dcterms:W3CDTF">2020-04-19T07:43:00Z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3082-10.2.0.5965</vt:lpwstr>
  </property>
</Properties>
</file>