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2A1CC9E2" w:rsidR="000A6F25" w:rsidRPr="007E4958" w:rsidRDefault="007E4958" w:rsidP="007E4958">
      <w:pPr>
        <w:jc w:val="center"/>
        <w:rPr>
          <w:rFonts w:asciiTheme="minorHAnsi" w:hAnsiTheme="minorHAnsi" w:cstheme="minorHAnsi"/>
        </w:rPr>
      </w:pPr>
      <w:r w:rsidRPr="007E4958">
        <w:rPr>
          <w:rFonts w:asciiTheme="minorHAnsi" w:hAnsiTheme="minorHAnsi" w:cstheme="minorHAnsi"/>
        </w:rPr>
        <w:t>** FREE PREVIEW VERSION **</w:t>
      </w:r>
    </w:p>
    <w:p w14:paraId="06D84E42" w14:textId="77777777" w:rsidR="000A6F25" w:rsidRPr="007E4958" w:rsidRDefault="000A6F25">
      <w:pPr>
        <w:rPr>
          <w:rFonts w:asciiTheme="minorHAnsi" w:hAnsiTheme="minorHAnsi" w:cstheme="minorHAnsi"/>
        </w:rPr>
      </w:pPr>
    </w:p>
    <w:p w14:paraId="333EFF5C" w14:textId="77777777" w:rsidR="000A6F25" w:rsidRPr="007E4958" w:rsidRDefault="000A6F25">
      <w:pPr>
        <w:rPr>
          <w:rFonts w:asciiTheme="minorHAnsi" w:hAnsiTheme="minorHAnsi" w:cstheme="minorHAnsi"/>
        </w:rPr>
      </w:pPr>
    </w:p>
    <w:p w14:paraId="12D74DE8" w14:textId="77777777" w:rsidR="000A6F25" w:rsidRPr="007E4958" w:rsidRDefault="000A6F25">
      <w:pPr>
        <w:rPr>
          <w:rFonts w:asciiTheme="minorHAnsi" w:hAnsiTheme="minorHAnsi" w:cstheme="minorHAnsi"/>
        </w:rPr>
      </w:pPr>
    </w:p>
    <w:p w14:paraId="68D47CD1" w14:textId="77777777" w:rsidR="000A6F25" w:rsidRPr="007E4958" w:rsidRDefault="000A6F25">
      <w:pPr>
        <w:rPr>
          <w:rFonts w:asciiTheme="minorHAnsi" w:hAnsiTheme="minorHAnsi" w:cstheme="minorHAnsi"/>
        </w:rPr>
      </w:pPr>
    </w:p>
    <w:p w14:paraId="3AC55F54" w14:textId="77777777" w:rsidR="000A6F25" w:rsidRPr="007E4958" w:rsidRDefault="000A6F25">
      <w:pPr>
        <w:rPr>
          <w:rFonts w:asciiTheme="minorHAnsi" w:hAnsiTheme="minorHAnsi" w:cstheme="minorHAnsi"/>
        </w:rPr>
      </w:pPr>
    </w:p>
    <w:p w14:paraId="40E6E797" w14:textId="77777777" w:rsidR="000A6F25" w:rsidRPr="007E4958" w:rsidRDefault="00436A45">
      <w:pPr>
        <w:jc w:val="center"/>
        <w:rPr>
          <w:rFonts w:asciiTheme="minorHAnsi" w:hAnsiTheme="minorHAnsi" w:cstheme="minorHAnsi"/>
        </w:rPr>
      </w:pPr>
      <w:commentRangeStart w:id="0"/>
      <w:r w:rsidRPr="007E4958">
        <w:rPr>
          <w:rFonts w:cstheme="minorHAnsi"/>
        </w:rPr>
        <w:t>[</w:t>
      </w:r>
      <w:proofErr w:type="gramStart"/>
      <w:r w:rsidRPr="007E4958">
        <w:rPr>
          <w:rFonts w:cstheme="minorHAnsi"/>
        </w:rPr>
        <w:t>organization</w:t>
      </w:r>
      <w:proofErr w:type="gramEnd"/>
      <w:r w:rsidRPr="007E4958">
        <w:rPr>
          <w:rFonts w:cstheme="minorHAnsi"/>
        </w:rPr>
        <w:t xml:space="preserve"> logo]</w:t>
      </w:r>
      <w:commentRangeEnd w:id="0"/>
      <w:r w:rsidR="006E1797" w:rsidRPr="007E4958">
        <w:rPr>
          <w:rStyle w:val="CommentReference"/>
        </w:rPr>
        <w:commentReference w:id="0"/>
      </w:r>
    </w:p>
    <w:p w14:paraId="754F7008" w14:textId="77777777" w:rsidR="000A6F25" w:rsidRPr="007E4958" w:rsidRDefault="00436A45">
      <w:pPr>
        <w:jc w:val="center"/>
        <w:rPr>
          <w:rFonts w:asciiTheme="minorHAnsi" w:hAnsiTheme="minorHAnsi" w:cstheme="minorHAnsi"/>
        </w:rPr>
      </w:pPr>
      <w:r w:rsidRPr="007E4958">
        <w:rPr>
          <w:rFonts w:cstheme="minorHAnsi"/>
        </w:rPr>
        <w:t>[</w:t>
      </w:r>
      <w:proofErr w:type="gramStart"/>
      <w:r w:rsidRPr="007E4958">
        <w:rPr>
          <w:rFonts w:cstheme="minorHAnsi"/>
        </w:rPr>
        <w:t>organization</w:t>
      </w:r>
      <w:proofErr w:type="gramEnd"/>
      <w:r w:rsidRPr="007E4958">
        <w:rPr>
          <w:rFonts w:cstheme="minorHAnsi"/>
        </w:rPr>
        <w:t xml:space="preserve"> name]</w:t>
      </w:r>
    </w:p>
    <w:p w14:paraId="0389DD7E" w14:textId="77777777" w:rsidR="000A6F25" w:rsidRPr="007E4958" w:rsidRDefault="000A6F25">
      <w:pPr>
        <w:jc w:val="center"/>
        <w:rPr>
          <w:rFonts w:asciiTheme="minorHAnsi" w:hAnsiTheme="minorHAnsi" w:cstheme="minorHAnsi"/>
        </w:rPr>
      </w:pPr>
    </w:p>
    <w:p w14:paraId="5B02E48B" w14:textId="77777777" w:rsidR="000A6F25" w:rsidRPr="007E4958" w:rsidRDefault="000A6F25">
      <w:pPr>
        <w:jc w:val="center"/>
        <w:rPr>
          <w:rFonts w:asciiTheme="minorHAnsi" w:hAnsiTheme="minorHAnsi" w:cstheme="minorHAnsi"/>
        </w:rPr>
      </w:pPr>
    </w:p>
    <w:p w14:paraId="19068410" w14:textId="77777777" w:rsidR="000A6F25" w:rsidRPr="007E4958" w:rsidRDefault="00436A45">
      <w:pPr>
        <w:jc w:val="center"/>
        <w:rPr>
          <w:rFonts w:asciiTheme="minorHAnsi" w:hAnsiTheme="minorHAnsi" w:cstheme="minorHAnsi"/>
          <w:b/>
          <w:sz w:val="32"/>
          <w:szCs w:val="32"/>
        </w:rPr>
      </w:pPr>
      <w:r w:rsidRPr="007E4958">
        <w:rPr>
          <w:rFonts w:cstheme="minorHAnsi"/>
          <w:b/>
          <w:sz w:val="32"/>
        </w:rPr>
        <w:t>ANONIMIZATION AND PSEUDONYMIZATION POLICY</w:t>
      </w:r>
    </w:p>
    <w:p w14:paraId="2A050BF1" w14:textId="77777777" w:rsidR="000A6F25" w:rsidRPr="007E4958" w:rsidRDefault="000A6F25">
      <w:pPr>
        <w:jc w:val="center"/>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7E4958" w14:paraId="4B48AA65" w14:textId="77777777">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7E4958" w:rsidRDefault="00436A45">
            <w:pPr>
              <w:rPr>
                <w:rFonts w:asciiTheme="minorHAnsi" w:hAnsiTheme="minorHAnsi" w:cstheme="minorHAnsi"/>
              </w:rPr>
            </w:pPr>
            <w:commentRangeStart w:id="1"/>
            <w:r w:rsidRPr="007E4958">
              <w:rPr>
                <w:rFonts w:cstheme="minorHAnsi"/>
              </w:rPr>
              <w:t>Code</w:t>
            </w:r>
            <w:commentRangeEnd w:id="1"/>
            <w:r w:rsidR="006E1797" w:rsidRPr="007E4958">
              <w:rPr>
                <w:rStyle w:val="CommentReference"/>
              </w:rPr>
              <w:commentReference w:id="1"/>
            </w:r>
            <w:r w:rsidRPr="007E4958">
              <w:rPr>
                <w:rFonts w:cstheme="minorHAnsi"/>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7E4958" w:rsidRDefault="000A6F25">
            <w:pPr>
              <w:rPr>
                <w:rFonts w:asciiTheme="minorHAnsi" w:hAnsiTheme="minorHAnsi" w:cstheme="minorHAnsi"/>
              </w:rPr>
            </w:pPr>
          </w:p>
        </w:tc>
      </w:tr>
      <w:tr w:rsidR="000A6F25" w:rsidRPr="007E4958" w14:paraId="1919F1B2" w14:textId="77777777">
        <w:tc>
          <w:tcPr>
            <w:tcW w:w="2352" w:type="dxa"/>
            <w:tcBorders>
              <w:top w:val="single" w:sz="4" w:space="0" w:color="000001"/>
              <w:bottom w:val="single" w:sz="4" w:space="0" w:color="000001"/>
              <w:right w:val="single" w:sz="4" w:space="0" w:color="000001"/>
            </w:tcBorders>
            <w:shd w:val="clear" w:color="auto" w:fill="auto"/>
          </w:tcPr>
          <w:p w14:paraId="3DBDC978" w14:textId="77777777" w:rsidR="000A6F25" w:rsidRPr="007E4958" w:rsidRDefault="00436A45">
            <w:pPr>
              <w:rPr>
                <w:rFonts w:asciiTheme="minorHAnsi" w:hAnsiTheme="minorHAnsi" w:cstheme="minorHAnsi"/>
              </w:rPr>
            </w:pPr>
            <w:r w:rsidRPr="007E4958">
              <w:rPr>
                <w:rFonts w:cstheme="minorHAnsi"/>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0A6F25" w:rsidRPr="007E4958" w:rsidRDefault="000A6F25">
            <w:pPr>
              <w:rPr>
                <w:rFonts w:asciiTheme="minorHAnsi" w:hAnsiTheme="minorHAnsi" w:cstheme="minorHAnsi"/>
              </w:rPr>
            </w:pPr>
          </w:p>
        </w:tc>
      </w:tr>
      <w:tr w:rsidR="000A6F25" w:rsidRPr="007E4958" w14:paraId="30B36141" w14:textId="77777777">
        <w:tc>
          <w:tcPr>
            <w:tcW w:w="2352" w:type="dxa"/>
            <w:tcBorders>
              <w:top w:val="single" w:sz="4" w:space="0" w:color="000001"/>
              <w:bottom w:val="single" w:sz="4" w:space="0" w:color="000001"/>
              <w:right w:val="single" w:sz="4" w:space="0" w:color="000001"/>
            </w:tcBorders>
            <w:shd w:val="clear" w:color="auto" w:fill="auto"/>
          </w:tcPr>
          <w:p w14:paraId="1359F1DD" w14:textId="77777777" w:rsidR="000A6F25" w:rsidRPr="007E4958" w:rsidRDefault="00436A45">
            <w:pPr>
              <w:rPr>
                <w:rFonts w:asciiTheme="minorHAnsi" w:hAnsiTheme="minorHAnsi" w:cstheme="minorHAnsi"/>
              </w:rPr>
            </w:pPr>
            <w:r w:rsidRPr="007E4958">
              <w:rPr>
                <w:rFonts w:cstheme="minorHAnsi"/>
              </w:rPr>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0A6F25" w:rsidRPr="007E4958" w:rsidRDefault="000A6F25">
            <w:pPr>
              <w:rPr>
                <w:rFonts w:asciiTheme="minorHAnsi" w:hAnsiTheme="minorHAnsi" w:cstheme="minorHAnsi"/>
              </w:rPr>
            </w:pPr>
          </w:p>
        </w:tc>
      </w:tr>
      <w:tr w:rsidR="000A6F25" w:rsidRPr="007E4958" w14:paraId="75656696" w14:textId="77777777">
        <w:tc>
          <w:tcPr>
            <w:tcW w:w="2352" w:type="dxa"/>
            <w:tcBorders>
              <w:top w:val="single" w:sz="4" w:space="0" w:color="000001"/>
              <w:bottom w:val="single" w:sz="4" w:space="0" w:color="000001"/>
              <w:right w:val="single" w:sz="4" w:space="0" w:color="000001"/>
            </w:tcBorders>
            <w:shd w:val="clear" w:color="auto" w:fill="auto"/>
          </w:tcPr>
          <w:p w14:paraId="6CA6BA13" w14:textId="77777777" w:rsidR="000A6F25" w:rsidRPr="007E4958" w:rsidRDefault="00436A45">
            <w:pPr>
              <w:rPr>
                <w:rFonts w:asciiTheme="minorHAnsi" w:hAnsiTheme="minorHAnsi" w:cstheme="minorHAnsi"/>
              </w:rPr>
            </w:pPr>
            <w:r w:rsidRPr="007E4958">
              <w:rPr>
                <w:rFonts w:cstheme="minorHAnsi"/>
              </w:rPr>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0A6F25" w:rsidRPr="007E4958" w:rsidRDefault="000A6F25">
            <w:pPr>
              <w:rPr>
                <w:rFonts w:asciiTheme="minorHAnsi" w:hAnsiTheme="minorHAnsi" w:cstheme="minorHAnsi"/>
              </w:rPr>
            </w:pPr>
          </w:p>
        </w:tc>
      </w:tr>
      <w:tr w:rsidR="000A6F25" w:rsidRPr="007E4958" w14:paraId="4CAE3579" w14:textId="77777777">
        <w:tc>
          <w:tcPr>
            <w:tcW w:w="2352" w:type="dxa"/>
            <w:tcBorders>
              <w:top w:val="single" w:sz="4" w:space="0" w:color="000001"/>
              <w:bottom w:val="single" w:sz="4" w:space="0" w:color="000001"/>
              <w:right w:val="single" w:sz="4" w:space="0" w:color="000001"/>
            </w:tcBorders>
            <w:shd w:val="clear" w:color="auto" w:fill="auto"/>
          </w:tcPr>
          <w:p w14:paraId="4E1D7A3C" w14:textId="77777777" w:rsidR="000A6F25" w:rsidRPr="007E4958" w:rsidRDefault="00436A45">
            <w:pPr>
              <w:rPr>
                <w:rFonts w:asciiTheme="minorHAnsi" w:hAnsiTheme="minorHAnsi" w:cstheme="minorHAnsi"/>
              </w:rPr>
            </w:pPr>
            <w:r w:rsidRPr="007E4958">
              <w:rPr>
                <w:rFonts w:cstheme="minorHAnsi"/>
              </w:rPr>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0A6F25" w:rsidRPr="007E4958" w:rsidRDefault="000A6F25">
            <w:pPr>
              <w:rPr>
                <w:rFonts w:asciiTheme="minorHAnsi" w:hAnsiTheme="minorHAnsi" w:cstheme="minorHAnsi"/>
              </w:rPr>
            </w:pPr>
          </w:p>
        </w:tc>
      </w:tr>
      <w:tr w:rsidR="000A6F25" w:rsidRPr="007E4958" w14:paraId="723B7796" w14:textId="77777777">
        <w:tc>
          <w:tcPr>
            <w:tcW w:w="2352" w:type="dxa"/>
            <w:tcBorders>
              <w:top w:val="single" w:sz="4" w:space="0" w:color="000001"/>
              <w:bottom w:val="single" w:sz="4" w:space="0" w:color="000001"/>
              <w:right w:val="single" w:sz="4" w:space="0" w:color="000001"/>
            </w:tcBorders>
            <w:shd w:val="clear" w:color="auto" w:fill="auto"/>
          </w:tcPr>
          <w:p w14:paraId="524653B9" w14:textId="77777777" w:rsidR="000A6F25" w:rsidRPr="007E4958" w:rsidRDefault="00436A45">
            <w:pPr>
              <w:rPr>
                <w:rFonts w:asciiTheme="minorHAnsi" w:hAnsiTheme="minorHAnsi" w:cstheme="minorHAnsi"/>
              </w:rPr>
            </w:pPr>
            <w:r w:rsidRPr="007E4958">
              <w:rPr>
                <w:rFonts w:cstheme="minorHAnsi"/>
              </w:rPr>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0A6F25" w:rsidRPr="007E4958" w:rsidRDefault="000A6F25">
            <w:pPr>
              <w:rPr>
                <w:rFonts w:asciiTheme="minorHAnsi" w:hAnsiTheme="minorHAnsi" w:cstheme="minorHAnsi"/>
              </w:rPr>
            </w:pPr>
          </w:p>
        </w:tc>
      </w:tr>
    </w:tbl>
    <w:p w14:paraId="6E67A9B4" w14:textId="77777777" w:rsidR="000A6F25" w:rsidRPr="007E4958" w:rsidRDefault="00436A45">
      <w:pPr>
        <w:tabs>
          <w:tab w:val="left" w:pos="2070"/>
        </w:tabs>
        <w:rPr>
          <w:rFonts w:asciiTheme="minorHAnsi" w:hAnsiTheme="minorHAnsi" w:cstheme="minorHAnsi"/>
        </w:rPr>
      </w:pPr>
      <w:r w:rsidRPr="007E4958">
        <w:br w:type="page"/>
      </w:r>
    </w:p>
    <w:p w14:paraId="19E6541B" w14:textId="77777777" w:rsidR="000A6F25" w:rsidRPr="007E4958" w:rsidRDefault="00436A45">
      <w:pPr>
        <w:rPr>
          <w:rFonts w:asciiTheme="minorHAnsi" w:hAnsiTheme="minorHAnsi" w:cstheme="minorHAnsi"/>
          <w:b/>
          <w:sz w:val="28"/>
          <w:szCs w:val="28"/>
        </w:rPr>
      </w:pPr>
      <w:r w:rsidRPr="007E4958">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0A6F25" w:rsidRPr="007E4958" w14:paraId="5720480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355112" w14:textId="77777777" w:rsidR="000A6F25" w:rsidRPr="007E4958" w:rsidRDefault="00436A45">
            <w:pPr>
              <w:rPr>
                <w:rFonts w:asciiTheme="minorHAnsi" w:hAnsiTheme="minorHAnsi" w:cstheme="minorHAnsi"/>
                <w:b/>
              </w:rPr>
            </w:pPr>
            <w:r w:rsidRPr="007E4958">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40164" w14:textId="77777777" w:rsidR="000A6F25" w:rsidRPr="007E4958" w:rsidRDefault="00436A45">
            <w:pPr>
              <w:rPr>
                <w:rFonts w:asciiTheme="minorHAnsi" w:hAnsiTheme="minorHAnsi" w:cstheme="minorHAnsi"/>
                <w:b/>
              </w:rPr>
            </w:pPr>
            <w:r w:rsidRPr="007E4958">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66213" w14:textId="77777777" w:rsidR="000A6F25" w:rsidRPr="007E4958" w:rsidRDefault="00436A45">
            <w:pPr>
              <w:rPr>
                <w:rFonts w:asciiTheme="minorHAnsi" w:hAnsiTheme="minorHAnsi" w:cstheme="minorHAnsi"/>
                <w:b/>
              </w:rPr>
            </w:pPr>
            <w:r w:rsidRPr="007E4958">
              <w:rPr>
                <w:rFonts w:cstheme="minorHAnsi"/>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D3969" w14:textId="77777777" w:rsidR="000A6F25" w:rsidRPr="007E4958" w:rsidRDefault="00436A45">
            <w:pPr>
              <w:rPr>
                <w:rFonts w:asciiTheme="minorHAnsi" w:hAnsiTheme="minorHAnsi" w:cstheme="minorHAnsi"/>
                <w:b/>
              </w:rPr>
            </w:pPr>
            <w:r w:rsidRPr="007E4958">
              <w:rPr>
                <w:rFonts w:cstheme="minorHAnsi"/>
                <w:b/>
              </w:rPr>
              <w:t>Description of change</w:t>
            </w:r>
          </w:p>
        </w:tc>
      </w:tr>
      <w:tr w:rsidR="000A6F25" w:rsidRPr="007E4958" w14:paraId="29063EF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95C44" w14:textId="3BC39732" w:rsidR="000A6F25" w:rsidRPr="007E4958" w:rsidRDefault="006E1797">
            <w:pPr>
              <w:rPr>
                <w:rFonts w:asciiTheme="minorHAnsi" w:hAnsiTheme="minorHAnsi" w:cstheme="minorHAnsi"/>
              </w:rPr>
            </w:pPr>
            <w:proofErr w:type="spellStart"/>
            <w:r w:rsidRPr="007E4958">
              <w:rPr>
                <w:rFonts w:asciiTheme="minorHAnsi" w:hAnsiTheme="minorHAnsi" w:cstheme="minorHAnsi"/>
              </w:rPr>
              <w:t>dd.mm.yyyy</w:t>
            </w:r>
            <w:proofErr w:type="spell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5700" w14:textId="598C3806" w:rsidR="000A6F25" w:rsidRPr="007E4958" w:rsidRDefault="006E1797">
            <w:pPr>
              <w:rPr>
                <w:rFonts w:asciiTheme="minorHAnsi" w:hAnsiTheme="minorHAnsi" w:cstheme="minorHAnsi"/>
              </w:rPr>
            </w:pPr>
            <w:r w:rsidRPr="007E4958">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5A9D" w14:textId="15BD0C56" w:rsidR="000A6F25" w:rsidRPr="007E4958" w:rsidRDefault="006E1797">
            <w:pPr>
              <w:rPr>
                <w:rFonts w:asciiTheme="minorHAnsi" w:hAnsiTheme="minorHAnsi" w:cstheme="minorHAnsi"/>
              </w:rPr>
            </w:pPr>
            <w:r w:rsidRPr="007E4958">
              <w:rPr>
                <w:rFonts w:asciiTheme="minorHAnsi" w:hAnsiTheme="minorHAnsi" w:cstheme="minorHAnsi"/>
              </w:rPr>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C1B0B" w14:textId="0030142B" w:rsidR="000A6F25" w:rsidRPr="007E4958" w:rsidRDefault="006E1797">
            <w:pPr>
              <w:rPr>
                <w:rFonts w:asciiTheme="minorHAnsi" w:hAnsiTheme="minorHAnsi" w:cstheme="minorHAnsi"/>
              </w:rPr>
            </w:pPr>
            <w:r w:rsidRPr="007E4958">
              <w:t>Basic document outline</w:t>
            </w:r>
          </w:p>
        </w:tc>
      </w:tr>
      <w:tr w:rsidR="000A6F25" w:rsidRPr="007E4958" w14:paraId="5F231AD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A9D4D4"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6C013"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38ADE"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C34B0E" w14:textId="77777777" w:rsidR="000A6F25" w:rsidRPr="007E4958" w:rsidRDefault="000A6F25">
            <w:pPr>
              <w:rPr>
                <w:rFonts w:asciiTheme="minorHAnsi" w:hAnsiTheme="minorHAnsi" w:cstheme="minorHAnsi"/>
              </w:rPr>
            </w:pPr>
          </w:p>
        </w:tc>
      </w:tr>
      <w:tr w:rsidR="000A6F25" w:rsidRPr="007E4958" w14:paraId="4344A94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9CA9A"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6E5E19"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CAAFD"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897CE" w14:textId="77777777" w:rsidR="000A6F25" w:rsidRPr="007E4958" w:rsidRDefault="000A6F25">
            <w:pPr>
              <w:rPr>
                <w:rFonts w:asciiTheme="minorHAnsi" w:hAnsiTheme="minorHAnsi" w:cstheme="minorHAnsi"/>
              </w:rPr>
            </w:pPr>
          </w:p>
        </w:tc>
      </w:tr>
      <w:tr w:rsidR="000A6F25" w:rsidRPr="007E4958" w14:paraId="3FECFD3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E0046"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D5937"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48060"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CDC436" w14:textId="77777777" w:rsidR="000A6F25" w:rsidRPr="007E4958" w:rsidRDefault="000A6F25">
            <w:pPr>
              <w:rPr>
                <w:rFonts w:asciiTheme="minorHAnsi" w:hAnsiTheme="minorHAnsi" w:cstheme="minorHAnsi"/>
              </w:rPr>
            </w:pPr>
          </w:p>
        </w:tc>
      </w:tr>
      <w:tr w:rsidR="000A6F25" w:rsidRPr="007E4958" w14:paraId="02DF51D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B30A1"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53774"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D2200"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E4810" w14:textId="77777777" w:rsidR="000A6F25" w:rsidRPr="007E4958" w:rsidRDefault="000A6F25">
            <w:pPr>
              <w:rPr>
                <w:rFonts w:asciiTheme="minorHAnsi" w:hAnsiTheme="minorHAnsi" w:cstheme="minorHAnsi"/>
              </w:rPr>
            </w:pPr>
          </w:p>
        </w:tc>
      </w:tr>
      <w:tr w:rsidR="000A6F25" w:rsidRPr="007E4958" w14:paraId="63027D5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3C8F9"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DBD0"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AA5DB"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9C6F5" w14:textId="77777777" w:rsidR="000A6F25" w:rsidRPr="007E4958" w:rsidRDefault="000A6F25">
            <w:pPr>
              <w:rPr>
                <w:rFonts w:asciiTheme="minorHAnsi" w:hAnsiTheme="minorHAnsi" w:cstheme="minorHAnsi"/>
              </w:rPr>
            </w:pPr>
          </w:p>
        </w:tc>
      </w:tr>
      <w:tr w:rsidR="000A6F25" w:rsidRPr="007E4958" w14:paraId="30EB32BD"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8F78B9" w14:textId="77777777" w:rsidR="000A6F25" w:rsidRPr="007E4958"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756A8" w14:textId="77777777" w:rsidR="000A6F25" w:rsidRPr="007E4958"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431D7" w14:textId="77777777" w:rsidR="000A6F25" w:rsidRPr="007E4958"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8D187" w14:textId="77777777" w:rsidR="000A6F25" w:rsidRPr="007E4958" w:rsidRDefault="000A6F25">
            <w:pPr>
              <w:rPr>
                <w:rFonts w:asciiTheme="minorHAnsi" w:hAnsiTheme="minorHAnsi" w:cstheme="minorHAnsi"/>
              </w:rPr>
            </w:pPr>
          </w:p>
        </w:tc>
      </w:tr>
    </w:tbl>
    <w:p w14:paraId="4A063887" w14:textId="77777777" w:rsidR="000A6F25" w:rsidRPr="007E4958" w:rsidRDefault="000A6F25">
      <w:pPr>
        <w:rPr>
          <w:rFonts w:asciiTheme="minorHAnsi" w:hAnsiTheme="minorHAnsi" w:cstheme="minorHAnsi"/>
        </w:rPr>
      </w:pPr>
    </w:p>
    <w:p w14:paraId="6BB371E6" w14:textId="77777777" w:rsidR="000A6F25" w:rsidRPr="007E4958" w:rsidRDefault="000A6F25">
      <w:pPr>
        <w:rPr>
          <w:rFonts w:asciiTheme="minorHAnsi" w:hAnsiTheme="minorHAnsi" w:cstheme="minorHAnsi"/>
        </w:rPr>
      </w:pPr>
    </w:p>
    <w:sdt>
      <w:sdtPr>
        <w:id w:val="1511262878"/>
        <w:docPartObj>
          <w:docPartGallery w:val="Table of Contents"/>
          <w:docPartUnique/>
        </w:docPartObj>
      </w:sdtPr>
      <w:sdtEndPr/>
      <w:sdtContent>
        <w:p w14:paraId="5E25831B" w14:textId="77777777" w:rsidR="000A6F25" w:rsidRPr="007E4958" w:rsidRDefault="00436A45">
          <w:r w:rsidRPr="007E4958">
            <w:rPr>
              <w:b/>
              <w:sz w:val="28"/>
            </w:rPr>
            <w:t>Table of Contents</w:t>
          </w:r>
        </w:p>
        <w:p w14:paraId="1DF2E812" w14:textId="77777777" w:rsidR="006E1797" w:rsidRPr="007E4958" w:rsidRDefault="00436A45">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7E4958">
            <w:fldChar w:fldCharType="begin"/>
          </w:r>
          <w:r w:rsidRPr="007E4958">
            <w:instrText>TOC \z \o "1-3" \u \h</w:instrText>
          </w:r>
          <w:r w:rsidRPr="007E4958">
            <w:fldChar w:fldCharType="separate"/>
          </w:r>
          <w:hyperlink w:anchor="_Toc496562433" w:history="1">
            <w:r w:rsidR="006E1797" w:rsidRPr="007E4958">
              <w:rPr>
                <w:rStyle w:val="Hyperlink"/>
              </w:rPr>
              <w:t>1.</w:t>
            </w:r>
            <w:r w:rsidR="006E1797" w:rsidRPr="007E4958">
              <w:rPr>
                <w:rFonts w:asciiTheme="minorHAnsi" w:eastAsiaTheme="minorEastAsia" w:hAnsiTheme="minorHAnsi" w:cstheme="minorBidi"/>
                <w:b w:val="0"/>
                <w:bCs w:val="0"/>
                <w:caps w:val="0"/>
                <w:sz w:val="22"/>
                <w:szCs w:val="22"/>
                <w:lang w:eastAsia="zh-CN"/>
              </w:rPr>
              <w:tab/>
            </w:r>
            <w:r w:rsidR="006E1797" w:rsidRPr="007E4958">
              <w:rPr>
                <w:rStyle w:val="Hyperlink"/>
              </w:rPr>
              <w:t>Scope, Purpose and Users</w:t>
            </w:r>
            <w:r w:rsidR="006E1797" w:rsidRPr="007E4958">
              <w:rPr>
                <w:webHidden/>
              </w:rPr>
              <w:tab/>
            </w:r>
            <w:r w:rsidR="006E1797" w:rsidRPr="007E4958">
              <w:rPr>
                <w:webHidden/>
              </w:rPr>
              <w:fldChar w:fldCharType="begin"/>
            </w:r>
            <w:r w:rsidR="006E1797" w:rsidRPr="007E4958">
              <w:rPr>
                <w:webHidden/>
              </w:rPr>
              <w:instrText xml:space="preserve"> PAGEREF _Toc496562433 \h </w:instrText>
            </w:r>
            <w:r w:rsidR="006E1797" w:rsidRPr="007E4958">
              <w:rPr>
                <w:webHidden/>
              </w:rPr>
            </w:r>
            <w:r w:rsidR="006E1797" w:rsidRPr="007E4958">
              <w:rPr>
                <w:webHidden/>
              </w:rPr>
              <w:fldChar w:fldCharType="separate"/>
            </w:r>
            <w:r w:rsidR="006E1797" w:rsidRPr="007E4958">
              <w:rPr>
                <w:webHidden/>
              </w:rPr>
              <w:t>3</w:t>
            </w:r>
            <w:r w:rsidR="006E1797" w:rsidRPr="007E4958">
              <w:rPr>
                <w:webHidden/>
              </w:rPr>
              <w:fldChar w:fldCharType="end"/>
            </w:r>
          </w:hyperlink>
        </w:p>
        <w:p w14:paraId="0ABDBFDA" w14:textId="77777777" w:rsidR="006E1797" w:rsidRPr="007E4958" w:rsidRDefault="007262E0">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2434" w:history="1">
            <w:r w:rsidR="006E1797" w:rsidRPr="007E4958">
              <w:rPr>
                <w:rStyle w:val="Hyperlink"/>
              </w:rPr>
              <w:t>2.</w:t>
            </w:r>
            <w:r w:rsidR="006E1797" w:rsidRPr="007E4958">
              <w:rPr>
                <w:rFonts w:asciiTheme="minorHAnsi" w:eastAsiaTheme="minorEastAsia" w:hAnsiTheme="minorHAnsi" w:cstheme="minorBidi"/>
                <w:b w:val="0"/>
                <w:bCs w:val="0"/>
                <w:caps w:val="0"/>
                <w:sz w:val="22"/>
                <w:szCs w:val="22"/>
                <w:lang w:eastAsia="zh-CN"/>
              </w:rPr>
              <w:tab/>
            </w:r>
            <w:r w:rsidR="006E1797" w:rsidRPr="007E4958">
              <w:rPr>
                <w:rStyle w:val="Hyperlink"/>
              </w:rPr>
              <w:t>Reference Documents</w:t>
            </w:r>
            <w:r w:rsidR="006E1797" w:rsidRPr="007E4958">
              <w:rPr>
                <w:webHidden/>
              </w:rPr>
              <w:tab/>
            </w:r>
            <w:r w:rsidR="006E1797" w:rsidRPr="007E4958">
              <w:rPr>
                <w:webHidden/>
              </w:rPr>
              <w:fldChar w:fldCharType="begin"/>
            </w:r>
            <w:r w:rsidR="006E1797" w:rsidRPr="007E4958">
              <w:rPr>
                <w:webHidden/>
              </w:rPr>
              <w:instrText xml:space="preserve"> PAGEREF _Toc496562434 \h </w:instrText>
            </w:r>
            <w:r w:rsidR="006E1797" w:rsidRPr="007E4958">
              <w:rPr>
                <w:webHidden/>
              </w:rPr>
            </w:r>
            <w:r w:rsidR="006E1797" w:rsidRPr="007E4958">
              <w:rPr>
                <w:webHidden/>
              </w:rPr>
              <w:fldChar w:fldCharType="separate"/>
            </w:r>
            <w:r w:rsidR="006E1797" w:rsidRPr="007E4958">
              <w:rPr>
                <w:webHidden/>
              </w:rPr>
              <w:t>3</w:t>
            </w:r>
            <w:r w:rsidR="006E1797" w:rsidRPr="007E4958">
              <w:rPr>
                <w:webHidden/>
              </w:rPr>
              <w:fldChar w:fldCharType="end"/>
            </w:r>
          </w:hyperlink>
        </w:p>
        <w:p w14:paraId="2C75C259" w14:textId="77777777" w:rsidR="006E1797" w:rsidRPr="007E4958" w:rsidRDefault="007262E0">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2435" w:history="1">
            <w:r w:rsidR="006E1797" w:rsidRPr="007E4958">
              <w:rPr>
                <w:rStyle w:val="Hyperlink"/>
              </w:rPr>
              <w:t>3.</w:t>
            </w:r>
            <w:r w:rsidR="006E1797" w:rsidRPr="007E4958">
              <w:rPr>
                <w:rFonts w:asciiTheme="minorHAnsi" w:eastAsiaTheme="minorEastAsia" w:hAnsiTheme="minorHAnsi" w:cstheme="minorBidi"/>
                <w:b w:val="0"/>
                <w:bCs w:val="0"/>
                <w:caps w:val="0"/>
                <w:sz w:val="22"/>
                <w:szCs w:val="22"/>
                <w:lang w:eastAsia="zh-CN"/>
              </w:rPr>
              <w:tab/>
            </w:r>
            <w:r w:rsidR="006E1797" w:rsidRPr="007E4958">
              <w:rPr>
                <w:rStyle w:val="Hyperlink"/>
              </w:rPr>
              <w:t>Definitions</w:t>
            </w:r>
            <w:r w:rsidR="006E1797" w:rsidRPr="007E4958">
              <w:rPr>
                <w:webHidden/>
              </w:rPr>
              <w:tab/>
            </w:r>
            <w:r w:rsidR="006E1797" w:rsidRPr="007E4958">
              <w:rPr>
                <w:webHidden/>
              </w:rPr>
              <w:fldChar w:fldCharType="begin"/>
            </w:r>
            <w:r w:rsidR="006E1797" w:rsidRPr="007E4958">
              <w:rPr>
                <w:webHidden/>
              </w:rPr>
              <w:instrText xml:space="preserve"> PAGEREF _Toc496562435 \h </w:instrText>
            </w:r>
            <w:r w:rsidR="006E1797" w:rsidRPr="007E4958">
              <w:rPr>
                <w:webHidden/>
              </w:rPr>
            </w:r>
            <w:r w:rsidR="006E1797" w:rsidRPr="007E4958">
              <w:rPr>
                <w:webHidden/>
              </w:rPr>
              <w:fldChar w:fldCharType="separate"/>
            </w:r>
            <w:r w:rsidR="006E1797" w:rsidRPr="007E4958">
              <w:rPr>
                <w:webHidden/>
              </w:rPr>
              <w:t>3</w:t>
            </w:r>
            <w:r w:rsidR="006E1797" w:rsidRPr="007E4958">
              <w:rPr>
                <w:webHidden/>
              </w:rPr>
              <w:fldChar w:fldCharType="end"/>
            </w:r>
          </w:hyperlink>
        </w:p>
        <w:p w14:paraId="3CAD93FE" w14:textId="77777777" w:rsidR="006E1797" w:rsidRPr="007E4958" w:rsidRDefault="007262E0">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2436" w:history="1">
            <w:r w:rsidR="006E1797" w:rsidRPr="007E4958">
              <w:rPr>
                <w:rStyle w:val="Hyperlink"/>
              </w:rPr>
              <w:t>4.</w:t>
            </w:r>
            <w:r w:rsidR="006E1797" w:rsidRPr="007E4958">
              <w:rPr>
                <w:rFonts w:asciiTheme="minorHAnsi" w:eastAsiaTheme="minorEastAsia" w:hAnsiTheme="minorHAnsi" w:cstheme="minorBidi"/>
                <w:b w:val="0"/>
                <w:bCs w:val="0"/>
                <w:caps w:val="0"/>
                <w:sz w:val="22"/>
                <w:szCs w:val="22"/>
                <w:lang w:eastAsia="zh-CN"/>
              </w:rPr>
              <w:tab/>
            </w:r>
            <w:r w:rsidR="006E1797" w:rsidRPr="007E4958">
              <w:rPr>
                <w:rStyle w:val="Hyperlink"/>
              </w:rPr>
              <w:t>Pseudonymizing and Anonymizing Personal Data</w:t>
            </w:r>
            <w:r w:rsidR="006E1797" w:rsidRPr="007E4958">
              <w:rPr>
                <w:webHidden/>
              </w:rPr>
              <w:tab/>
            </w:r>
            <w:r w:rsidR="006E1797" w:rsidRPr="007E4958">
              <w:rPr>
                <w:webHidden/>
              </w:rPr>
              <w:fldChar w:fldCharType="begin"/>
            </w:r>
            <w:r w:rsidR="006E1797" w:rsidRPr="007E4958">
              <w:rPr>
                <w:webHidden/>
              </w:rPr>
              <w:instrText xml:space="preserve"> PAGEREF _Toc496562436 \h </w:instrText>
            </w:r>
            <w:r w:rsidR="006E1797" w:rsidRPr="007E4958">
              <w:rPr>
                <w:webHidden/>
              </w:rPr>
            </w:r>
            <w:r w:rsidR="006E1797" w:rsidRPr="007E4958">
              <w:rPr>
                <w:webHidden/>
              </w:rPr>
              <w:fldChar w:fldCharType="separate"/>
            </w:r>
            <w:r w:rsidR="006E1797" w:rsidRPr="007E4958">
              <w:rPr>
                <w:webHidden/>
              </w:rPr>
              <w:t>3</w:t>
            </w:r>
            <w:r w:rsidR="006E1797" w:rsidRPr="007E4958">
              <w:rPr>
                <w:webHidden/>
              </w:rPr>
              <w:fldChar w:fldCharType="end"/>
            </w:r>
          </w:hyperlink>
        </w:p>
        <w:p w14:paraId="6A1351EF" w14:textId="77777777" w:rsidR="006E1797" w:rsidRPr="007E4958" w:rsidRDefault="007262E0">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2437" w:history="1">
            <w:r w:rsidR="006E1797" w:rsidRPr="007E4958">
              <w:rPr>
                <w:rStyle w:val="Hyperlink"/>
              </w:rPr>
              <w:t>4.1.</w:t>
            </w:r>
            <w:r w:rsidR="006E1797" w:rsidRPr="007E4958">
              <w:rPr>
                <w:rFonts w:asciiTheme="minorHAnsi" w:eastAsiaTheme="minorEastAsia" w:hAnsiTheme="minorHAnsi" w:cstheme="minorBidi"/>
                <w:smallCaps w:val="0"/>
                <w:sz w:val="22"/>
                <w:szCs w:val="22"/>
                <w:lang w:eastAsia="zh-CN"/>
              </w:rPr>
              <w:tab/>
            </w:r>
            <w:r w:rsidR="006E1797" w:rsidRPr="007E4958">
              <w:rPr>
                <w:rStyle w:val="Hyperlink"/>
              </w:rPr>
              <w:t>Anonymization</w:t>
            </w:r>
            <w:r w:rsidR="006E1797" w:rsidRPr="007E4958">
              <w:rPr>
                <w:webHidden/>
              </w:rPr>
              <w:tab/>
            </w:r>
            <w:r w:rsidR="006E1797" w:rsidRPr="007E4958">
              <w:rPr>
                <w:webHidden/>
              </w:rPr>
              <w:fldChar w:fldCharType="begin"/>
            </w:r>
            <w:r w:rsidR="006E1797" w:rsidRPr="007E4958">
              <w:rPr>
                <w:webHidden/>
              </w:rPr>
              <w:instrText xml:space="preserve"> PAGEREF _Toc496562437 \h </w:instrText>
            </w:r>
            <w:r w:rsidR="006E1797" w:rsidRPr="007E4958">
              <w:rPr>
                <w:webHidden/>
              </w:rPr>
            </w:r>
            <w:r w:rsidR="006E1797" w:rsidRPr="007E4958">
              <w:rPr>
                <w:webHidden/>
              </w:rPr>
              <w:fldChar w:fldCharType="separate"/>
            </w:r>
            <w:r w:rsidR="006E1797" w:rsidRPr="007E4958">
              <w:rPr>
                <w:webHidden/>
              </w:rPr>
              <w:t>4</w:t>
            </w:r>
            <w:r w:rsidR="006E1797" w:rsidRPr="007E4958">
              <w:rPr>
                <w:webHidden/>
              </w:rPr>
              <w:fldChar w:fldCharType="end"/>
            </w:r>
          </w:hyperlink>
        </w:p>
        <w:p w14:paraId="023B35CA" w14:textId="77777777" w:rsidR="006E1797" w:rsidRPr="007E4958" w:rsidRDefault="007262E0">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2438" w:history="1">
            <w:r w:rsidR="006E1797" w:rsidRPr="007E4958">
              <w:rPr>
                <w:rStyle w:val="Hyperlink"/>
              </w:rPr>
              <w:t>4.2.</w:t>
            </w:r>
            <w:r w:rsidR="006E1797" w:rsidRPr="007E4958">
              <w:rPr>
                <w:rFonts w:asciiTheme="minorHAnsi" w:eastAsiaTheme="minorEastAsia" w:hAnsiTheme="minorHAnsi" w:cstheme="minorBidi"/>
                <w:smallCaps w:val="0"/>
                <w:sz w:val="22"/>
                <w:szCs w:val="22"/>
                <w:lang w:eastAsia="zh-CN"/>
              </w:rPr>
              <w:tab/>
            </w:r>
            <w:r w:rsidR="006E1797" w:rsidRPr="007E4958">
              <w:rPr>
                <w:rStyle w:val="Hyperlink"/>
              </w:rPr>
              <w:t>Pseudonymization</w:t>
            </w:r>
            <w:r w:rsidR="006E1797" w:rsidRPr="007E4958">
              <w:rPr>
                <w:webHidden/>
              </w:rPr>
              <w:tab/>
            </w:r>
            <w:r w:rsidR="006E1797" w:rsidRPr="007E4958">
              <w:rPr>
                <w:webHidden/>
              </w:rPr>
              <w:fldChar w:fldCharType="begin"/>
            </w:r>
            <w:r w:rsidR="006E1797" w:rsidRPr="007E4958">
              <w:rPr>
                <w:webHidden/>
              </w:rPr>
              <w:instrText xml:space="preserve"> PAGEREF _Toc496562438 \h </w:instrText>
            </w:r>
            <w:r w:rsidR="006E1797" w:rsidRPr="007E4958">
              <w:rPr>
                <w:webHidden/>
              </w:rPr>
            </w:r>
            <w:r w:rsidR="006E1797" w:rsidRPr="007E4958">
              <w:rPr>
                <w:webHidden/>
              </w:rPr>
              <w:fldChar w:fldCharType="separate"/>
            </w:r>
            <w:r w:rsidR="006E1797" w:rsidRPr="007E4958">
              <w:rPr>
                <w:webHidden/>
              </w:rPr>
              <w:t>4</w:t>
            </w:r>
            <w:r w:rsidR="006E1797" w:rsidRPr="007E4958">
              <w:rPr>
                <w:webHidden/>
              </w:rPr>
              <w:fldChar w:fldCharType="end"/>
            </w:r>
          </w:hyperlink>
        </w:p>
        <w:p w14:paraId="348B3271" w14:textId="77777777" w:rsidR="006E1797" w:rsidRPr="007E4958" w:rsidRDefault="007262E0">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2439" w:history="1">
            <w:r w:rsidR="006E1797" w:rsidRPr="007E4958">
              <w:rPr>
                <w:rStyle w:val="Hyperlink"/>
              </w:rPr>
              <w:t>5.</w:t>
            </w:r>
            <w:r w:rsidR="006E1797" w:rsidRPr="007E4958">
              <w:rPr>
                <w:rFonts w:asciiTheme="minorHAnsi" w:eastAsiaTheme="minorEastAsia" w:hAnsiTheme="minorHAnsi" w:cstheme="minorBidi"/>
                <w:b w:val="0"/>
                <w:bCs w:val="0"/>
                <w:caps w:val="0"/>
                <w:sz w:val="22"/>
                <w:szCs w:val="22"/>
                <w:lang w:eastAsia="zh-CN"/>
              </w:rPr>
              <w:tab/>
            </w:r>
            <w:r w:rsidR="006E1797" w:rsidRPr="007E4958">
              <w:rPr>
                <w:rStyle w:val="Hyperlink"/>
              </w:rPr>
              <w:t>Validity and Document Management</w:t>
            </w:r>
            <w:r w:rsidR="006E1797" w:rsidRPr="007E4958">
              <w:rPr>
                <w:webHidden/>
              </w:rPr>
              <w:tab/>
            </w:r>
            <w:r w:rsidR="006E1797" w:rsidRPr="007E4958">
              <w:rPr>
                <w:webHidden/>
              </w:rPr>
              <w:fldChar w:fldCharType="begin"/>
            </w:r>
            <w:r w:rsidR="006E1797" w:rsidRPr="007E4958">
              <w:rPr>
                <w:webHidden/>
              </w:rPr>
              <w:instrText xml:space="preserve"> PAGEREF _Toc496562439 \h </w:instrText>
            </w:r>
            <w:r w:rsidR="006E1797" w:rsidRPr="007E4958">
              <w:rPr>
                <w:webHidden/>
              </w:rPr>
            </w:r>
            <w:r w:rsidR="006E1797" w:rsidRPr="007E4958">
              <w:rPr>
                <w:webHidden/>
              </w:rPr>
              <w:fldChar w:fldCharType="separate"/>
            </w:r>
            <w:r w:rsidR="006E1797" w:rsidRPr="007E4958">
              <w:rPr>
                <w:webHidden/>
              </w:rPr>
              <w:t>4</w:t>
            </w:r>
            <w:r w:rsidR="006E1797" w:rsidRPr="007E4958">
              <w:rPr>
                <w:webHidden/>
              </w:rPr>
              <w:fldChar w:fldCharType="end"/>
            </w:r>
          </w:hyperlink>
        </w:p>
        <w:p w14:paraId="242CDFCE" w14:textId="77777777" w:rsidR="000A6F25" w:rsidRPr="007E4958" w:rsidRDefault="00436A45">
          <w:r w:rsidRPr="007E4958">
            <w:fldChar w:fldCharType="end"/>
          </w:r>
        </w:p>
      </w:sdtContent>
    </w:sdt>
    <w:p w14:paraId="6892AABD" w14:textId="77777777" w:rsidR="000A6F25" w:rsidRPr="007E4958" w:rsidRDefault="000A6F25">
      <w:pPr>
        <w:rPr>
          <w:rFonts w:asciiTheme="minorHAnsi" w:hAnsiTheme="minorHAnsi" w:cstheme="minorHAnsi"/>
        </w:rPr>
      </w:pPr>
    </w:p>
    <w:p w14:paraId="5DAD0ABF" w14:textId="77777777" w:rsidR="000A6F25" w:rsidRPr="007E4958" w:rsidRDefault="000A6F25">
      <w:pPr>
        <w:pStyle w:val="TOC1"/>
        <w:tabs>
          <w:tab w:val="left" w:pos="440"/>
          <w:tab w:val="right" w:leader="dot" w:pos="9062"/>
        </w:tabs>
        <w:rPr>
          <w:rFonts w:asciiTheme="minorHAnsi" w:hAnsiTheme="minorHAnsi" w:cstheme="minorHAnsi"/>
        </w:rPr>
      </w:pPr>
    </w:p>
    <w:p w14:paraId="5282256A" w14:textId="77777777" w:rsidR="000A6F25" w:rsidRPr="007E4958" w:rsidRDefault="00436A45">
      <w:pPr>
        <w:pStyle w:val="Heading1"/>
        <w:numPr>
          <w:ilvl w:val="0"/>
          <w:numId w:val="2"/>
        </w:numPr>
        <w:rPr>
          <w:rFonts w:asciiTheme="minorHAnsi" w:hAnsiTheme="minorHAnsi" w:cstheme="minorHAnsi"/>
        </w:rPr>
      </w:pPr>
      <w:r w:rsidRPr="007E4958">
        <w:br w:type="page"/>
      </w:r>
    </w:p>
    <w:p w14:paraId="65E24027" w14:textId="77777777" w:rsidR="000A6F25" w:rsidRPr="007E4958" w:rsidRDefault="00436A45">
      <w:pPr>
        <w:pStyle w:val="Heading1"/>
        <w:numPr>
          <w:ilvl w:val="0"/>
          <w:numId w:val="3"/>
        </w:numPr>
      </w:pPr>
      <w:bookmarkStart w:id="2" w:name="_Toc496562433"/>
      <w:r w:rsidRPr="007E4958">
        <w:lastRenderedPageBreak/>
        <w:t>Scope, Purpose and Users</w:t>
      </w:r>
      <w:bookmarkEnd w:id="2"/>
    </w:p>
    <w:p w14:paraId="33C4008B" w14:textId="77777777" w:rsidR="000A6F25" w:rsidRPr="007E4958" w:rsidRDefault="00436A45">
      <w:r w:rsidRPr="007E4958">
        <w:t>The purpose of this document is to provide guidance to [</w:t>
      </w:r>
      <w:commentRangeStart w:id="3"/>
      <w:r w:rsidRPr="007E4958">
        <w:t>Company Name</w:t>
      </w:r>
      <w:commentRangeEnd w:id="3"/>
      <w:r w:rsidR="006E1797" w:rsidRPr="007E4958">
        <w:rPr>
          <w:rStyle w:val="CommentReference"/>
        </w:rPr>
        <w:commentReference w:id="3"/>
      </w:r>
      <w:r w:rsidRPr="007E4958">
        <w:t xml:space="preserve">] (“The Company”) for establishing and maintaining </w:t>
      </w:r>
      <w:proofErr w:type="spellStart"/>
      <w:r w:rsidRPr="007E4958">
        <w:t>pseudonymization</w:t>
      </w:r>
      <w:proofErr w:type="spellEnd"/>
      <w:r w:rsidRPr="007E4958">
        <w:t xml:space="preserve"> and encryption of personal data.</w:t>
      </w:r>
    </w:p>
    <w:p w14:paraId="0155AF50" w14:textId="77777777" w:rsidR="000A6F25" w:rsidRPr="007E4958" w:rsidRDefault="00436A45">
      <w:r w:rsidRPr="007E4958">
        <w:t xml:space="preserve">The users of this document are the Data Protection Officer, IT/IT Security Officer, and the representatives of the business units responsible for processing personal data. </w:t>
      </w:r>
    </w:p>
    <w:p w14:paraId="4F33493B" w14:textId="77777777" w:rsidR="000A6F25" w:rsidRPr="007E4958" w:rsidRDefault="000A6F25"/>
    <w:p w14:paraId="7D8D4CF9" w14:textId="77777777" w:rsidR="000A6F25" w:rsidRPr="007E4958" w:rsidRDefault="00436A45">
      <w:pPr>
        <w:pStyle w:val="Heading1"/>
        <w:numPr>
          <w:ilvl w:val="0"/>
          <w:numId w:val="2"/>
        </w:numPr>
      </w:pPr>
      <w:bookmarkStart w:id="4" w:name="_Toc415647884"/>
      <w:bookmarkStart w:id="5" w:name="_Toc495736176"/>
      <w:bookmarkStart w:id="6" w:name="_Toc263228401"/>
      <w:bookmarkStart w:id="7" w:name="_Toc495619979"/>
      <w:bookmarkStart w:id="8" w:name="_Toc496562434"/>
      <w:r w:rsidRPr="007E4958">
        <w:t>Reference D</w:t>
      </w:r>
      <w:bookmarkEnd w:id="4"/>
      <w:bookmarkEnd w:id="5"/>
      <w:bookmarkEnd w:id="6"/>
      <w:bookmarkEnd w:id="7"/>
      <w:r w:rsidRPr="007E4958">
        <w:t>ocuments</w:t>
      </w:r>
      <w:bookmarkEnd w:id="8"/>
    </w:p>
    <w:p w14:paraId="30CEF162" w14:textId="77777777" w:rsidR="000A6F25" w:rsidRPr="007E4958" w:rsidRDefault="00436A45" w:rsidP="006E1797">
      <w:pPr>
        <w:pStyle w:val="ListParagraph"/>
        <w:numPr>
          <w:ilvl w:val="0"/>
          <w:numId w:val="4"/>
        </w:numPr>
        <w:ind w:left="714" w:hanging="357"/>
      </w:pPr>
      <w:commentRangeStart w:id="9"/>
      <w:r w:rsidRPr="007E4958">
        <w:t xml:space="preserve">Article 32 </w:t>
      </w:r>
      <w:commentRangeEnd w:id="9"/>
      <w:r w:rsidR="00B14EBE">
        <w:rPr>
          <w:rStyle w:val="CommentReference"/>
        </w:rPr>
        <w:commentReference w:id="9"/>
      </w:r>
      <w:r w:rsidRPr="007E4958">
        <w:t>of the EU GDPR 2016/679 (Regulation (EU) 2016/679 of the European Parliament and of the Council  of 27 April 2016 on the protection of natural persons with regard to the processing of personal data and on the free movement of such data, and repealing Directive 95/46/EC);</w:t>
      </w:r>
    </w:p>
    <w:p w14:paraId="0E0EF912" w14:textId="77777777" w:rsidR="000A6F25" w:rsidRPr="007E4958" w:rsidRDefault="00436A45" w:rsidP="006E1797">
      <w:pPr>
        <w:pStyle w:val="ListParagraph"/>
        <w:numPr>
          <w:ilvl w:val="0"/>
          <w:numId w:val="4"/>
        </w:numPr>
        <w:ind w:left="714" w:hanging="357"/>
      </w:pPr>
      <w:r w:rsidRPr="007E4958">
        <w:t xml:space="preserve">“Opinion 05/2014 on </w:t>
      </w:r>
      <w:proofErr w:type="spellStart"/>
      <w:r w:rsidRPr="007E4958">
        <w:t>Anonymisation</w:t>
      </w:r>
      <w:proofErr w:type="spellEnd"/>
      <w:r w:rsidRPr="007E4958">
        <w:t xml:space="preserve"> Techniques” of Article 29 Data Protection Working Party;</w:t>
      </w:r>
    </w:p>
    <w:p w14:paraId="6F75F16A" w14:textId="77777777" w:rsidR="000A6F25" w:rsidRPr="007E4958" w:rsidRDefault="00436A45" w:rsidP="006E1797">
      <w:pPr>
        <w:pStyle w:val="ListParagraph"/>
        <w:numPr>
          <w:ilvl w:val="0"/>
          <w:numId w:val="4"/>
        </w:numPr>
        <w:ind w:left="714" w:hanging="357"/>
      </w:pPr>
      <w:r w:rsidRPr="007E4958">
        <w:t>[</w:t>
      </w:r>
      <w:commentRangeStart w:id="11"/>
      <w:r w:rsidRPr="007E4958">
        <w:t>relevant national law or regulation for GDPR implementation</w:t>
      </w:r>
      <w:commentRangeEnd w:id="11"/>
      <w:r w:rsidR="006E1797" w:rsidRPr="007E4958">
        <w:rPr>
          <w:rStyle w:val="CommentReference"/>
        </w:rPr>
        <w:commentReference w:id="11"/>
      </w:r>
      <w:r w:rsidRPr="007E4958">
        <w:t xml:space="preserve">]  </w:t>
      </w:r>
      <w:r w:rsidRPr="007E4958">
        <w:rPr>
          <w:rFonts w:eastAsia="Times New Roman"/>
        </w:rPr>
        <w:t xml:space="preserve"> </w:t>
      </w:r>
    </w:p>
    <w:p w14:paraId="1ABB7376" w14:textId="77777777" w:rsidR="000A6F25" w:rsidRPr="007E4958" w:rsidRDefault="00436A45" w:rsidP="006E1797">
      <w:pPr>
        <w:pStyle w:val="ListParagraph"/>
        <w:numPr>
          <w:ilvl w:val="0"/>
          <w:numId w:val="4"/>
        </w:numPr>
        <w:ind w:left="714" w:hanging="357"/>
      </w:pPr>
      <w:r w:rsidRPr="007E4958">
        <w:t>[</w:t>
      </w:r>
      <w:commentRangeStart w:id="12"/>
      <w:r w:rsidRPr="007E4958">
        <w:t>other local laws and regulations</w:t>
      </w:r>
      <w:commentRangeEnd w:id="12"/>
      <w:r w:rsidRPr="007E4958">
        <w:commentReference w:id="12"/>
      </w:r>
      <w:r w:rsidRPr="007E4958">
        <w:t>]</w:t>
      </w:r>
    </w:p>
    <w:p w14:paraId="24492466" w14:textId="77777777" w:rsidR="000A6F25" w:rsidRPr="007E4958" w:rsidRDefault="000A6F25"/>
    <w:p w14:paraId="25062F2E" w14:textId="77777777" w:rsidR="000A6F25" w:rsidRPr="007E4958" w:rsidRDefault="00436A45">
      <w:pPr>
        <w:pStyle w:val="Heading1"/>
        <w:numPr>
          <w:ilvl w:val="0"/>
          <w:numId w:val="2"/>
        </w:numPr>
      </w:pPr>
      <w:bookmarkStart w:id="13" w:name="_Toc496562435"/>
      <w:r w:rsidRPr="007E4958">
        <w:t>Definitions</w:t>
      </w:r>
      <w:bookmarkEnd w:id="13"/>
    </w:p>
    <w:p w14:paraId="794CAE2E" w14:textId="77777777" w:rsidR="000A6F25" w:rsidRPr="007E4958" w:rsidRDefault="00436A45">
      <w:r w:rsidRPr="007E4958">
        <w:rPr>
          <w:b/>
        </w:rPr>
        <w:t>“</w:t>
      </w:r>
      <w:proofErr w:type="spellStart"/>
      <w:r w:rsidRPr="007E4958">
        <w:rPr>
          <w:b/>
        </w:rPr>
        <w:t>Pseudonymization</w:t>
      </w:r>
      <w:proofErr w:type="spellEnd"/>
      <w:r w:rsidRPr="007E4958">
        <w:rPr>
          <w:b/>
        </w:rPr>
        <w:t>”</w:t>
      </w:r>
      <w:r w:rsidRPr="007E4958">
        <w:t xml:space="preserve"> means the processing of personal data in such a way that the data can no longer be attributed to a specific data subject without the use of additional information, provided that such additional information is kept separately and is subject to technical and organisational measures to ensure that the personal data are not attributed to an identified or identifiable natural person.</w:t>
      </w:r>
    </w:p>
    <w:p w14:paraId="5101B1A5" w14:textId="15B963FC" w:rsidR="000A6F25" w:rsidRPr="007E4958" w:rsidRDefault="00436A45" w:rsidP="007E4958">
      <w:r w:rsidRPr="007E4958">
        <w:rPr>
          <w:b/>
        </w:rPr>
        <w:t>“</w:t>
      </w:r>
      <w:proofErr w:type="spellStart"/>
      <w:r w:rsidRPr="007E4958">
        <w:rPr>
          <w:b/>
        </w:rPr>
        <w:t>Anonymization</w:t>
      </w:r>
      <w:proofErr w:type="spellEnd"/>
      <w:r w:rsidRPr="007E4958">
        <w:rPr>
          <w:b/>
        </w:rPr>
        <w:t>”</w:t>
      </w:r>
      <w:r w:rsidRPr="007E4958">
        <w:t xml:space="preserve"> means processing personal data with the aim of </w:t>
      </w:r>
      <w:r w:rsidRPr="007E4958">
        <w:rPr>
          <w:rStyle w:val="Emphasis"/>
        </w:rPr>
        <w:t>irreversibly</w:t>
      </w:r>
      <w:r w:rsidRPr="007E4958">
        <w:t xml:space="preserve"> preventing the identification of the individual to whom it relates. Data can be considered anonymized when it does not allow identification of the individuals to whom it </w:t>
      </w:r>
      <w:r w:rsidR="007E4958" w:rsidRPr="007E4958">
        <w:t>relates …</w:t>
      </w:r>
    </w:p>
    <w:p w14:paraId="2CAD8C52" w14:textId="77777777" w:rsidR="007E4958" w:rsidRPr="007E4958" w:rsidRDefault="007E4958" w:rsidP="007E4958"/>
    <w:p w14:paraId="7E4B52C2" w14:textId="77777777" w:rsidR="007E4958" w:rsidRPr="007E4958" w:rsidRDefault="007E4958" w:rsidP="007E4958">
      <w:pPr>
        <w:jc w:val="center"/>
      </w:pPr>
      <w:r w:rsidRPr="007E4958">
        <w:t>** END OF FREE PREVIEW **</w:t>
      </w:r>
    </w:p>
    <w:p w14:paraId="4908E5CD" w14:textId="624E9B3B" w:rsidR="000A6F25" w:rsidRPr="007E4958" w:rsidRDefault="007E4958" w:rsidP="007E4958">
      <w:pPr>
        <w:jc w:val="center"/>
      </w:pPr>
      <w:r w:rsidRPr="007E4958">
        <w:t xml:space="preserve">To download full version of this document click here: </w:t>
      </w:r>
      <w:hyperlink r:id="rId10" w:history="1">
        <w:r w:rsidRPr="007E4958">
          <w:rPr>
            <w:rStyle w:val="Hyperlink"/>
          </w:rPr>
          <w:t>https://advisera.com/eugdpracademy/documentation/anonymization-and-pseudonymization-policy/</w:t>
        </w:r>
      </w:hyperlink>
      <w:r w:rsidRPr="007E4958">
        <w:t xml:space="preserve"> </w:t>
      </w:r>
    </w:p>
    <w:sectPr w:rsidR="000A6F25" w:rsidRPr="007E4958">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22:46:00Z" w:initials="EUGDPR">
    <w:p w14:paraId="2A5ABCBC" w14:textId="68AB2040" w:rsidR="006E1797" w:rsidRPr="006E1797" w:rsidRDefault="006E1797" w:rsidP="006E1797">
      <w:pPr>
        <w:rPr>
          <w:rFonts w:cs="Calibri"/>
          <w:sz w:val="20"/>
          <w:szCs w:val="20"/>
        </w:rPr>
      </w:pPr>
      <w:r w:rsidRPr="006E1797">
        <w:rPr>
          <w:rStyle w:val="CommentReference"/>
          <w:rFonts w:cs="Calibri"/>
          <w:sz w:val="20"/>
          <w:szCs w:val="20"/>
        </w:rPr>
        <w:annotationRef/>
      </w:r>
      <w:r w:rsidRPr="006E1797">
        <w:rPr>
          <w:rFonts w:eastAsia="DejaVu Sans" w:cs="Calibri"/>
          <w:sz w:val="20"/>
          <w:szCs w:val="20"/>
          <w:lang w:bidi="en-US"/>
        </w:rPr>
        <w:t>All fields in this document marked by square brackets [ ] must be filled in.</w:t>
      </w:r>
    </w:p>
  </w:comment>
  <w:comment w:id="1" w:author="EUGDPRAcademy" w:date="2017-10-23T22:46:00Z" w:initials="EUGDPR">
    <w:p w14:paraId="58B033C2" w14:textId="164EF601" w:rsidR="006E1797" w:rsidRPr="006E1797" w:rsidRDefault="006E1797" w:rsidP="006E1797">
      <w:pPr>
        <w:rPr>
          <w:rFonts w:cs="Calibri"/>
          <w:sz w:val="20"/>
          <w:szCs w:val="20"/>
        </w:rPr>
      </w:pPr>
      <w:r w:rsidRPr="006E1797">
        <w:rPr>
          <w:rStyle w:val="CommentReference"/>
          <w:rFonts w:cs="Calibri"/>
          <w:sz w:val="20"/>
          <w:szCs w:val="20"/>
        </w:rPr>
        <w:annotationRef/>
      </w:r>
      <w:r w:rsidRPr="006E1797">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3" w:author="EUGDPRAcademy" w:date="2017-10-23T22:47:00Z" w:initials="EUGDPR">
    <w:p w14:paraId="48CD1B23" w14:textId="1AE3DFCA" w:rsidR="006E1797" w:rsidRPr="006E1797" w:rsidRDefault="006E1797" w:rsidP="006E1797">
      <w:pPr>
        <w:rPr>
          <w:rFonts w:cs="Calibri"/>
          <w:sz w:val="20"/>
          <w:szCs w:val="20"/>
        </w:rPr>
      </w:pPr>
      <w:r w:rsidRPr="006E1797">
        <w:rPr>
          <w:rStyle w:val="CommentReference"/>
          <w:rFonts w:cs="Calibri"/>
          <w:sz w:val="20"/>
          <w:szCs w:val="20"/>
        </w:rPr>
        <w:annotationRef/>
      </w:r>
      <w:r w:rsidRPr="006E1797">
        <w:rPr>
          <w:rFonts w:eastAsia="DejaVu Sans" w:cs="Calibri"/>
          <w:sz w:val="20"/>
          <w:szCs w:val="20"/>
          <w:lang w:bidi="en-US"/>
        </w:rPr>
        <w:t>Please insert the name of your company here.</w:t>
      </w:r>
    </w:p>
  </w:comment>
  <w:comment w:id="9" w:author="EUGDPRAcademy" w:date="2017-12-23T15:15:00Z" w:initials="EU GDPR">
    <w:p w14:paraId="78D41BBE" w14:textId="0E3120EC" w:rsidR="00B14EBE" w:rsidRDefault="00B14EBE">
      <w:pPr>
        <w:pStyle w:val="CommentText"/>
      </w:pPr>
      <w:r>
        <w:rPr>
          <w:rStyle w:val="CommentReference"/>
        </w:rPr>
        <w:annotationRef/>
      </w:r>
      <w:r w:rsidRPr="00F0247F">
        <w:t>Click here to read the full text of GDPR Article 32:</w:t>
      </w:r>
      <w:r>
        <w:t xml:space="preserve"> </w:t>
      </w:r>
      <w:hyperlink r:id="rId1" w:history="1">
        <w:r w:rsidRPr="003218E6">
          <w:rPr>
            <w:rStyle w:val="Hyperlink"/>
          </w:rPr>
          <w:t>https://advisera.com/eugdpracademy/gdpr/security-of-processing/</w:t>
        </w:r>
      </w:hyperlink>
      <w:bookmarkStart w:id="10" w:name="_GoBack"/>
      <w:bookmarkEnd w:id="10"/>
    </w:p>
  </w:comment>
  <w:comment w:id="11" w:author="EUGDPRAcademy" w:date="2017-10-23T22:47:00Z" w:initials="EUGDPR">
    <w:p w14:paraId="466CE606" w14:textId="64F8A4DE" w:rsidR="006E1797" w:rsidRPr="006E1797" w:rsidRDefault="006E1797" w:rsidP="006E1797">
      <w:pPr>
        <w:rPr>
          <w:rFonts w:cs="Calibri"/>
          <w:sz w:val="20"/>
          <w:szCs w:val="20"/>
        </w:rPr>
      </w:pPr>
      <w:r w:rsidRPr="006E1797">
        <w:rPr>
          <w:rStyle w:val="CommentReference"/>
          <w:rFonts w:cs="Calibri"/>
          <w:sz w:val="20"/>
          <w:szCs w:val="20"/>
        </w:rPr>
        <w:annotationRef/>
      </w:r>
      <w:r w:rsidRPr="006E1797">
        <w:rPr>
          <w:rFonts w:eastAsia="DejaVu Sans" w:cs="Calibri"/>
          <w:sz w:val="20"/>
          <w:szCs w:val="20"/>
          <w:lang w:bidi="en-US"/>
        </w:rPr>
        <w:t>If applicable, insert the name of relevant national or local data protection requirement.</w:t>
      </w:r>
    </w:p>
  </w:comment>
  <w:comment w:id="12" w:author="EUGDPRAcademy" w:date="2017-10-04T15:44:00Z" w:initials="GDPR">
    <w:p w14:paraId="62A9C620" w14:textId="77777777" w:rsidR="000A6F25" w:rsidRPr="006E1797" w:rsidRDefault="00436A45">
      <w:pPr>
        <w:rPr>
          <w:rFonts w:cs="Calibri"/>
          <w:sz w:val="20"/>
          <w:szCs w:val="20"/>
        </w:rPr>
      </w:pPr>
      <w:r w:rsidRPr="006E1797">
        <w:rPr>
          <w:rFonts w:eastAsia="DejaVu Sans" w:cs="Calibri"/>
          <w:sz w:val="20"/>
          <w:szCs w:val="20"/>
          <w:lang w:bidi="en-US"/>
        </w:rPr>
        <w:t xml:space="preserve">If applicable, list other laws and regulations that are related to data protection and information security.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5ABCBC" w15:done="0"/>
  <w15:commentEx w15:paraId="58B033C2" w15:done="0"/>
  <w15:commentEx w15:paraId="48CD1B23" w15:done="0"/>
  <w15:commentEx w15:paraId="78D41BBE" w15:done="0"/>
  <w15:commentEx w15:paraId="466CE606" w15:done="0"/>
  <w15:commentEx w15:paraId="62A9C6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AB957" w14:textId="77777777" w:rsidR="007262E0" w:rsidRDefault="007262E0">
      <w:pPr>
        <w:spacing w:after="0" w:line="240" w:lineRule="auto"/>
      </w:pPr>
      <w:r>
        <w:separator/>
      </w:r>
    </w:p>
  </w:endnote>
  <w:endnote w:type="continuationSeparator" w:id="0">
    <w:p w14:paraId="44929DF0" w14:textId="77777777" w:rsidR="007262E0" w:rsidRDefault="00726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0A6F25" w:rsidRPr="006E1797" w14:paraId="3A34D467" w14:textId="77777777" w:rsidTr="006E1797">
      <w:tc>
        <w:tcPr>
          <w:tcW w:w="3652" w:type="dxa"/>
          <w:shd w:val="clear" w:color="auto" w:fill="auto"/>
        </w:tcPr>
        <w:p w14:paraId="5B2BDCDD" w14:textId="77777777" w:rsidR="000A6F25" w:rsidRPr="006E1797" w:rsidRDefault="00436A45">
          <w:pPr>
            <w:pStyle w:val="Footer"/>
            <w:rPr>
              <w:sz w:val="18"/>
              <w:szCs w:val="18"/>
            </w:rPr>
          </w:pPr>
          <w:proofErr w:type="spellStart"/>
          <w:r w:rsidRPr="006E1797">
            <w:rPr>
              <w:sz w:val="18"/>
              <w:szCs w:val="18"/>
            </w:rPr>
            <w:t>Anonymization</w:t>
          </w:r>
          <w:proofErr w:type="spellEnd"/>
          <w:r w:rsidRPr="006E1797">
            <w:rPr>
              <w:sz w:val="18"/>
              <w:szCs w:val="18"/>
            </w:rPr>
            <w:t xml:space="preserve"> and </w:t>
          </w:r>
          <w:proofErr w:type="spellStart"/>
          <w:r w:rsidRPr="006E1797">
            <w:rPr>
              <w:sz w:val="18"/>
              <w:szCs w:val="18"/>
            </w:rPr>
            <w:t>Pseudonymization</w:t>
          </w:r>
          <w:proofErr w:type="spellEnd"/>
          <w:r w:rsidRPr="006E1797">
            <w:rPr>
              <w:sz w:val="18"/>
              <w:szCs w:val="18"/>
            </w:rPr>
            <w:t xml:space="preserve"> Policy</w:t>
          </w:r>
        </w:p>
      </w:tc>
      <w:tc>
        <w:tcPr>
          <w:tcW w:w="2126" w:type="dxa"/>
          <w:shd w:val="clear" w:color="auto" w:fill="auto"/>
        </w:tcPr>
        <w:p w14:paraId="3CC4F9C7" w14:textId="77777777" w:rsidR="000A6F25" w:rsidRPr="006E1797" w:rsidRDefault="00436A45">
          <w:pPr>
            <w:pStyle w:val="Footer"/>
            <w:jc w:val="center"/>
            <w:rPr>
              <w:sz w:val="18"/>
              <w:szCs w:val="18"/>
            </w:rPr>
          </w:pPr>
          <w:proofErr w:type="spellStart"/>
          <w:r w:rsidRPr="006E1797">
            <w:rPr>
              <w:sz w:val="18"/>
              <w:szCs w:val="18"/>
            </w:rPr>
            <w:t>ver</w:t>
          </w:r>
          <w:proofErr w:type="spellEnd"/>
          <w:r w:rsidRPr="006E1797">
            <w:rPr>
              <w:sz w:val="18"/>
              <w:szCs w:val="18"/>
            </w:rPr>
            <w:t xml:space="preserve"> [version] from [date]</w:t>
          </w:r>
        </w:p>
      </w:tc>
      <w:tc>
        <w:tcPr>
          <w:tcW w:w="3544" w:type="dxa"/>
          <w:shd w:val="clear" w:color="auto" w:fill="auto"/>
        </w:tcPr>
        <w:p w14:paraId="6BAF2BEB" w14:textId="77777777" w:rsidR="000A6F25" w:rsidRPr="006E1797" w:rsidRDefault="00436A45">
          <w:pPr>
            <w:pStyle w:val="Footer"/>
            <w:jc w:val="right"/>
            <w:rPr>
              <w:sz w:val="18"/>
              <w:szCs w:val="18"/>
            </w:rPr>
          </w:pPr>
          <w:r w:rsidRPr="006E1797">
            <w:rPr>
              <w:sz w:val="18"/>
              <w:szCs w:val="18"/>
            </w:rPr>
            <w:t xml:space="preserve">Page </w:t>
          </w:r>
          <w:r w:rsidRPr="006E1797">
            <w:rPr>
              <w:b/>
              <w:sz w:val="18"/>
              <w:szCs w:val="18"/>
            </w:rPr>
            <w:fldChar w:fldCharType="begin"/>
          </w:r>
          <w:r w:rsidRPr="006E1797">
            <w:rPr>
              <w:sz w:val="18"/>
              <w:szCs w:val="18"/>
            </w:rPr>
            <w:instrText>PAGE</w:instrText>
          </w:r>
          <w:r w:rsidRPr="006E1797">
            <w:rPr>
              <w:sz w:val="18"/>
              <w:szCs w:val="18"/>
            </w:rPr>
            <w:fldChar w:fldCharType="separate"/>
          </w:r>
          <w:r w:rsidR="00B14EBE">
            <w:rPr>
              <w:noProof/>
              <w:sz w:val="18"/>
              <w:szCs w:val="18"/>
            </w:rPr>
            <w:t>3</w:t>
          </w:r>
          <w:r w:rsidRPr="006E1797">
            <w:rPr>
              <w:sz w:val="18"/>
              <w:szCs w:val="18"/>
            </w:rPr>
            <w:fldChar w:fldCharType="end"/>
          </w:r>
          <w:r w:rsidRPr="006E1797">
            <w:rPr>
              <w:sz w:val="18"/>
              <w:szCs w:val="18"/>
            </w:rPr>
            <w:t xml:space="preserve"> of </w:t>
          </w:r>
          <w:r w:rsidRPr="006E1797">
            <w:rPr>
              <w:b/>
              <w:sz w:val="18"/>
              <w:szCs w:val="18"/>
            </w:rPr>
            <w:fldChar w:fldCharType="begin"/>
          </w:r>
          <w:r w:rsidRPr="006E1797">
            <w:rPr>
              <w:sz w:val="18"/>
              <w:szCs w:val="18"/>
            </w:rPr>
            <w:instrText>NUMPAGES</w:instrText>
          </w:r>
          <w:r w:rsidRPr="006E1797">
            <w:rPr>
              <w:sz w:val="18"/>
              <w:szCs w:val="18"/>
            </w:rPr>
            <w:fldChar w:fldCharType="separate"/>
          </w:r>
          <w:r w:rsidR="00B14EBE">
            <w:rPr>
              <w:noProof/>
              <w:sz w:val="18"/>
              <w:szCs w:val="18"/>
            </w:rPr>
            <w:t>3</w:t>
          </w:r>
          <w:r w:rsidRPr="006E1797">
            <w:rPr>
              <w:sz w:val="18"/>
              <w:szCs w:val="18"/>
            </w:rPr>
            <w:fldChar w:fldCharType="end"/>
          </w:r>
        </w:p>
      </w:tc>
    </w:tr>
  </w:tbl>
  <w:p w14:paraId="17C53AFA" w14:textId="77777777" w:rsidR="000A6F25" w:rsidRDefault="00436A45">
    <w:pPr>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77777777" w:rsidR="000A6F25" w:rsidRDefault="00436A45">
    <w:pPr>
      <w:pStyle w:val="Footer"/>
      <w:jc w:val="cente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B587F" w14:textId="77777777" w:rsidR="007262E0" w:rsidRDefault="007262E0">
      <w:pPr>
        <w:spacing w:after="0" w:line="240" w:lineRule="auto"/>
      </w:pPr>
      <w:r>
        <w:separator/>
      </w:r>
    </w:p>
  </w:footnote>
  <w:footnote w:type="continuationSeparator" w:id="0">
    <w:p w14:paraId="046342E9" w14:textId="77777777" w:rsidR="007262E0" w:rsidRDefault="007262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0A6F25" w14:paraId="1E14B480" w14:textId="77777777" w:rsidTr="006E1797">
      <w:tc>
        <w:tcPr>
          <w:tcW w:w="6589" w:type="dxa"/>
          <w:shd w:val="clear" w:color="auto" w:fill="auto"/>
        </w:tcPr>
        <w:p w14:paraId="6844C7A2" w14:textId="77777777" w:rsidR="000A6F25" w:rsidRDefault="00436A45">
          <w:pPr>
            <w:pStyle w:val="Header"/>
            <w:spacing w:after="0"/>
            <w:rPr>
              <w:sz w:val="20"/>
              <w:szCs w:val="20"/>
            </w:rPr>
          </w:pPr>
          <w:r>
            <w:rPr>
              <w:sz w:val="20"/>
            </w:rPr>
            <w:t xml:space="preserve"> [organization name]</w:t>
          </w:r>
        </w:p>
      </w:tc>
      <w:tc>
        <w:tcPr>
          <w:tcW w:w="2482" w:type="dxa"/>
          <w:shd w:val="clear" w:color="auto" w:fill="auto"/>
        </w:tcPr>
        <w:p w14:paraId="31AB9234" w14:textId="77777777" w:rsidR="000A6F25" w:rsidRDefault="00436A45">
          <w:pPr>
            <w:pStyle w:val="Header"/>
            <w:spacing w:after="0"/>
            <w:jc w:val="right"/>
            <w:rPr>
              <w:sz w:val="20"/>
              <w:szCs w:val="20"/>
            </w:rPr>
          </w:pPr>
          <w:r>
            <w:rPr>
              <w:sz w:val="20"/>
            </w:rPr>
            <w:t>[confidentiality level]</w:t>
          </w:r>
        </w:p>
      </w:tc>
    </w:tr>
  </w:tbl>
  <w:p w14:paraId="1B5D63A6" w14:textId="77777777" w:rsidR="000A6F25" w:rsidRDefault="000A6F2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25"/>
    <w:rsid w:val="000A6F25"/>
    <w:rsid w:val="00436A45"/>
    <w:rsid w:val="004D452A"/>
    <w:rsid w:val="006E1797"/>
    <w:rsid w:val="007262E0"/>
    <w:rsid w:val="007E4958"/>
    <w:rsid w:val="009028E7"/>
    <w:rsid w:val="00B14EBE"/>
    <w:rsid w:val="00C9654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4CB90"/>
  <w15:docId w15:val="{95F3A56D-E4F7-4D84-A088-D72005EC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6E17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security-of-processin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anonymization-and-pseudonymization-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F0A29-9F4A-4290-AA71-D8937F4DD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Personal_data_record_keeping_guidelines</vt:lpstr>
    </vt:vector>
  </TitlesOfParts>
  <Company>Advisera Expert Solutions Ltd</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Anonymization and Pseudonymization Policy</dc:title>
  <dc:subject/>
  <dc:creator>EUGDPRAcademy</dc:creator>
  <dc:description>©2017 This template may be used by clients of Advisera Expert Solutions Ltd. in accordance with the License Agreement.</dc:description>
  <cp:lastModifiedBy>EUGDPRAcademy</cp:lastModifiedBy>
  <cp:revision>14</cp:revision>
  <dcterms:created xsi:type="dcterms:W3CDTF">2017-10-16T21:28:00Z</dcterms:created>
  <dcterms:modified xsi:type="dcterms:W3CDTF">2017-12-23T14:15:00Z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