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18E8F" w14:textId="77777777" w:rsidR="00583974" w:rsidRPr="00697384" w:rsidRDefault="00485CE2">
      <w:pPr>
        <w:tabs>
          <w:tab w:val="left" w:pos="3930"/>
        </w:tabs>
        <w:jc w:val="center"/>
        <w:rPr>
          <w:b/>
          <w:sz w:val="28"/>
          <w:szCs w:val="32"/>
        </w:rPr>
      </w:pPr>
      <w:r w:rsidRPr="00697384">
        <w:rPr>
          <w:b/>
          <w:sz w:val="28"/>
          <w:szCs w:val="32"/>
        </w:rPr>
        <w:t>EU GDPR READINESS ASSESSMENT</w:t>
      </w:r>
    </w:p>
    <w:p w14:paraId="0AB65BAA" w14:textId="77777777" w:rsidR="00623295" w:rsidRPr="00546B61" w:rsidRDefault="00623295" w:rsidP="00623295">
      <w:pPr>
        <w:spacing w:after="0" w:line="240" w:lineRule="auto"/>
        <w:jc w:val="center"/>
        <w:rPr>
          <w:rFonts w:eastAsia="Times New Roman" w:cs="Calibri"/>
          <w:color w:val="000000"/>
          <w:lang w:val="en-HR" w:eastAsia="en-GB"/>
        </w:rPr>
      </w:pPr>
      <w:bookmarkStart w:id="0" w:name="OLE_LINK5"/>
      <w:r w:rsidRPr="00546B61">
        <w:rPr>
          <w:rFonts w:eastAsia="Times New Roman" w:cs="Calibri"/>
          <w:color w:val="000000"/>
          <w:lang w:val="en-HR" w:eastAsia="en-GB"/>
        </w:rPr>
        <w:t>** FREE PREVIEW VERSION **</w:t>
      </w:r>
    </w:p>
    <w:p w14:paraId="2E670A39" w14:textId="77777777" w:rsidR="000820C4" w:rsidRPr="00697384" w:rsidRDefault="000820C4"/>
    <w:p w14:paraId="41FFF35D" w14:textId="773A7E82" w:rsidR="00583974" w:rsidRPr="00697384" w:rsidRDefault="00485CE2">
      <w:r w:rsidRPr="00697384">
        <w:t xml:space="preserve">The purpose of this questionnaire is for the company to do a </w:t>
      </w:r>
      <w:commentRangeStart w:id="1"/>
      <w:r w:rsidRPr="00697384">
        <w:t>self-check on the status of compliance with the main requirements of the EU GDPR</w:t>
      </w:r>
      <w:commentRangeEnd w:id="1"/>
      <w:r w:rsidR="00697384">
        <w:rPr>
          <w:rStyle w:val="CommentReference"/>
        </w:rPr>
        <w:commentReference w:id="1"/>
      </w:r>
      <w:r w:rsidRPr="00697384">
        <w:t>. Since this questionnaire is not exhaustive, it does not provide a 100% accurate overview on your company’s compliance.</w:t>
      </w:r>
    </w:p>
    <w:p w14:paraId="13281BA4" w14:textId="58D9974A" w:rsidR="00583974" w:rsidRPr="00697384" w:rsidRDefault="00485CE2">
      <w:r w:rsidRPr="00697384">
        <w:t xml:space="preserve">If the answer to </w:t>
      </w:r>
      <w:proofErr w:type="gramStart"/>
      <w:r w:rsidRPr="00697384">
        <w:t>all of</w:t>
      </w:r>
      <w:proofErr w:type="gramEnd"/>
      <w:r w:rsidRPr="00697384">
        <w:t xml:space="preserve"> the questions below is, “Yes,” you might already be compliant with the provisions of the EU GPDR. Still, all instances where you answered, “Yes,” should be thoroughly documented to prove accountability and compliance.</w:t>
      </w:r>
    </w:p>
    <w:p w14:paraId="04B928CA" w14:textId="487D265F" w:rsidR="00583974" w:rsidRPr="00697384" w:rsidRDefault="00485CE2">
      <w:r w:rsidRPr="00697384">
        <w:t xml:space="preserve">If you answered, “No,” to some questions, it </w:t>
      </w:r>
      <w:proofErr w:type="gramStart"/>
      <w:r w:rsidRPr="00697384">
        <w:t>will</w:t>
      </w:r>
      <w:proofErr w:type="gramEnd"/>
      <w:r w:rsidRPr="00697384">
        <w:t xml:space="preserve"> indicate where you need </w:t>
      </w:r>
      <w:bookmarkEnd w:id="0"/>
      <w:r w:rsidRPr="00697384">
        <w:t>to focus your compliance efforts.</w:t>
      </w:r>
    </w:p>
    <w:p w14:paraId="4E5E886D" w14:textId="77777777" w:rsidR="00583974" w:rsidRPr="00697384" w:rsidRDefault="00583974" w:rsidP="00697384"/>
    <w:p w14:paraId="1BA49C89" w14:textId="77777777" w:rsidR="00583974" w:rsidRPr="00697384" w:rsidRDefault="00485CE2">
      <w:pPr>
        <w:rPr>
          <w:b/>
        </w:rPr>
      </w:pPr>
      <w:r w:rsidRPr="00697384">
        <w:rPr>
          <w:b/>
        </w:rPr>
        <w:t>1) Is the legal basis for each processing activity documented?</w:t>
      </w:r>
    </w:p>
    <w:p w14:paraId="1515EC91" w14:textId="77777777" w:rsidR="00583974" w:rsidRPr="00697384" w:rsidRDefault="00485CE2">
      <w:pPr>
        <w:rPr>
          <w:i/>
        </w:rPr>
      </w:pPr>
      <w:r w:rsidRPr="00697384">
        <w:rPr>
          <w:i/>
        </w:rPr>
        <w:t xml:space="preserve">“The organization should maintain a log of each processing activity it engages in, as well as the corresponding legal basis. The processing activity has a valid legal basis only if one or more of the following apply: (a) the data subject provides valid consent; (b) processing is necessary for entering into or the performance of a contract; (c) processing is necessary for compliance with a legal obligation to which the controller is subject; (d) processing is necessary in order to protect the vital interests of the data subject or other individual; (e) processing is necessary for the performance of a task carried out in the public interest or in the exercise of official authority vested; (f) processing is necessary for the purposes of the legitimate interests pursued by the controller or third party, to the extent it does not infringe on the fundamental rights and freedoms of the data subject, particularly where the data subject is a child” - </w:t>
      </w:r>
      <w:r w:rsidRPr="00697384">
        <w:t>Article 6(1) EU GDPR.</w:t>
      </w:r>
    </w:p>
    <w:p w14:paraId="05214461" w14:textId="1C860753" w:rsidR="00583974" w:rsidRPr="00697384" w:rsidRDefault="00485CE2">
      <w:pPr>
        <w:pStyle w:val="ListParagraph"/>
        <w:numPr>
          <w:ilvl w:val="0"/>
          <w:numId w:val="2"/>
        </w:numPr>
      </w:pPr>
      <w:r w:rsidRPr="00697384">
        <w:t>YES</w:t>
      </w:r>
    </w:p>
    <w:p w14:paraId="6848FE93" w14:textId="77777777" w:rsidR="00583974" w:rsidRPr="00697384" w:rsidRDefault="00485CE2">
      <w:pPr>
        <w:pStyle w:val="ListParagraph"/>
        <w:numPr>
          <w:ilvl w:val="0"/>
          <w:numId w:val="2"/>
        </w:numPr>
      </w:pPr>
      <w:r w:rsidRPr="00697384">
        <w:t>NO</w:t>
      </w:r>
    </w:p>
    <w:p w14:paraId="535B363A" w14:textId="77777777" w:rsidR="00583974" w:rsidRPr="00697384" w:rsidRDefault="00485CE2">
      <w:pPr>
        <w:pStyle w:val="ListParagraph"/>
        <w:numPr>
          <w:ilvl w:val="0"/>
          <w:numId w:val="2"/>
        </w:numPr>
      </w:pPr>
      <w:r w:rsidRPr="00697384">
        <w:t>NOT APPLICABLE</w:t>
      </w:r>
    </w:p>
    <w:p w14:paraId="6D3C2D54" w14:textId="77777777" w:rsidR="00583974" w:rsidRPr="00697384" w:rsidRDefault="00583974"/>
    <w:p w14:paraId="38A3DCB0" w14:textId="77777777" w:rsidR="00583974" w:rsidRPr="00697384" w:rsidRDefault="00485CE2">
      <w:pPr>
        <w:rPr>
          <w:b/>
        </w:rPr>
      </w:pPr>
      <w:r w:rsidRPr="00697384">
        <w:rPr>
          <w:b/>
        </w:rPr>
        <w:t>2) Is the purpose for each processing activity documented?</w:t>
      </w:r>
    </w:p>
    <w:p w14:paraId="45601AB1" w14:textId="0F39940A" w:rsidR="00583974" w:rsidRDefault="00485CE2" w:rsidP="00623295">
      <w:r w:rsidRPr="00697384">
        <w:t xml:space="preserve">Every processing </w:t>
      </w:r>
      <w:r w:rsidR="00623295">
        <w:t>…</w:t>
      </w:r>
    </w:p>
    <w:p w14:paraId="2EF10891" w14:textId="77777777" w:rsidR="00623295" w:rsidRDefault="00623295" w:rsidP="00623295"/>
    <w:p w14:paraId="688088BC" w14:textId="77777777" w:rsidR="00623295" w:rsidRDefault="00623295" w:rsidP="00623295">
      <w:pPr>
        <w:spacing w:after="0"/>
        <w:jc w:val="center"/>
      </w:pPr>
      <w:r>
        <w:t>** END OF FREE PREVIEW **</w:t>
      </w:r>
    </w:p>
    <w:p w14:paraId="260A9361" w14:textId="77777777" w:rsidR="00623295" w:rsidRDefault="00623295" w:rsidP="00623295">
      <w:pPr>
        <w:spacing w:after="0"/>
        <w:jc w:val="center"/>
      </w:pPr>
      <w:r>
        <w:t xml:space="preserve">To download full version of this </w:t>
      </w:r>
      <w:proofErr w:type="gramStart"/>
      <w:r>
        <w:t>document</w:t>
      </w:r>
      <w:proofErr w:type="gramEnd"/>
      <w:r>
        <w:t xml:space="preserve"> click here:</w:t>
      </w:r>
    </w:p>
    <w:p w14:paraId="5A6B5AF3" w14:textId="25ECE39F" w:rsidR="00623295" w:rsidRDefault="00623295" w:rsidP="00623295">
      <w:pPr>
        <w:jc w:val="center"/>
      </w:pPr>
      <w:hyperlink r:id="rId11" w:history="1">
        <w:r w:rsidRPr="007E59D7">
          <w:rPr>
            <w:rStyle w:val="Hyperlink"/>
          </w:rPr>
          <w:t>https://advisera.com/eugdpracademy/documentation/eu-gdpr-readiness-assessment/</w:t>
        </w:r>
      </w:hyperlink>
    </w:p>
    <w:p w14:paraId="00641547" w14:textId="77777777" w:rsidR="00623295" w:rsidRPr="00697384" w:rsidRDefault="00623295" w:rsidP="00623295"/>
    <w:p w14:paraId="12ECD481" w14:textId="77777777" w:rsidR="00583974" w:rsidRPr="00697384" w:rsidRDefault="00583974"/>
    <w:sectPr w:rsidR="00583974" w:rsidRPr="00697384">
      <w:headerReference w:type="default" r:id="rId12"/>
      <w:footerReference w:type="default" r:id="rId13"/>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UGDPRAcademy" w:date="2022-08-29T10:04:00Z" w:initials="EUGDPR">
    <w:p w14:paraId="6C45978E" w14:textId="4160B8B1" w:rsidR="00697384" w:rsidRDefault="00697384">
      <w:pPr>
        <w:pStyle w:val="CommentText"/>
      </w:pPr>
      <w:r>
        <w:rPr>
          <w:rStyle w:val="CommentReference"/>
        </w:rPr>
        <w:annotationRef/>
      </w:r>
      <w:r>
        <w:rPr>
          <w:rStyle w:val="CommentReference"/>
        </w:rPr>
        <w:annotationRef/>
      </w:r>
      <w:r w:rsidRPr="00513D5D">
        <w:rPr>
          <w:rStyle w:val="CommentReference"/>
        </w:rPr>
        <w:annotationRef/>
      </w:r>
      <w:r w:rsidRPr="00513D5D">
        <w:t xml:space="preserve">To self-check the compliance with ISO 27001, use this free ISO 27001 Gap Analysis Tool: </w:t>
      </w:r>
      <w:hyperlink r:id="rId1" w:history="1">
        <w:r w:rsidRPr="004B002D">
          <w:rPr>
            <w:rStyle w:val="Hyperlink"/>
          </w:rPr>
          <w:t>http://advisera.com/27001academy/free-tools/free-iso-27001-gap-analysis-tool/</w:t>
        </w:r>
      </w:hyperlink>
      <w:r>
        <w:rPr>
          <w:color w:val="FF0000"/>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4597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45978E" w16cid:durableId="26B70D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5183E" w14:textId="77777777" w:rsidR="00224CB0" w:rsidRDefault="00224CB0">
      <w:pPr>
        <w:spacing w:after="0" w:line="240" w:lineRule="auto"/>
      </w:pPr>
      <w:r>
        <w:separator/>
      </w:r>
    </w:p>
  </w:endnote>
  <w:endnote w:type="continuationSeparator" w:id="0">
    <w:p w14:paraId="7817BBD3" w14:textId="77777777" w:rsidR="00224CB0" w:rsidRDefault="0022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583974" w:rsidRPr="000820C4" w14:paraId="24C6C807" w14:textId="77777777" w:rsidTr="00842EC5">
      <w:tc>
        <w:tcPr>
          <w:tcW w:w="3652" w:type="dxa"/>
          <w:shd w:val="clear" w:color="auto" w:fill="auto"/>
        </w:tcPr>
        <w:p w14:paraId="3D802FC5" w14:textId="77777777" w:rsidR="00583974" w:rsidRPr="000820C4" w:rsidRDefault="00485CE2">
          <w:pPr>
            <w:pStyle w:val="Footer"/>
            <w:rPr>
              <w:sz w:val="18"/>
              <w:szCs w:val="18"/>
            </w:rPr>
          </w:pPr>
          <w:r w:rsidRPr="000820C4">
            <w:rPr>
              <w:sz w:val="18"/>
              <w:szCs w:val="18"/>
            </w:rPr>
            <w:t>EU GDPR Readiness Assessment</w:t>
          </w:r>
        </w:p>
      </w:tc>
      <w:tc>
        <w:tcPr>
          <w:tcW w:w="2126" w:type="dxa"/>
          <w:shd w:val="clear" w:color="auto" w:fill="auto"/>
        </w:tcPr>
        <w:p w14:paraId="79B5716E" w14:textId="77777777" w:rsidR="00583974" w:rsidRPr="000820C4" w:rsidRDefault="00485CE2">
          <w:pPr>
            <w:pStyle w:val="Footer"/>
            <w:jc w:val="center"/>
            <w:rPr>
              <w:sz w:val="18"/>
              <w:szCs w:val="18"/>
            </w:rPr>
          </w:pPr>
          <w:proofErr w:type="spellStart"/>
          <w:r w:rsidRPr="000820C4">
            <w:rPr>
              <w:sz w:val="18"/>
              <w:szCs w:val="18"/>
            </w:rPr>
            <w:t>ver</w:t>
          </w:r>
          <w:proofErr w:type="spellEnd"/>
          <w:r w:rsidRPr="000820C4">
            <w:rPr>
              <w:sz w:val="18"/>
              <w:szCs w:val="18"/>
            </w:rPr>
            <w:t xml:space="preserve"> [version] from [date]</w:t>
          </w:r>
        </w:p>
      </w:tc>
      <w:tc>
        <w:tcPr>
          <w:tcW w:w="3544" w:type="dxa"/>
          <w:shd w:val="clear" w:color="auto" w:fill="auto"/>
        </w:tcPr>
        <w:p w14:paraId="40CD7322" w14:textId="4ECA4CB3" w:rsidR="00583974" w:rsidRPr="000820C4" w:rsidRDefault="00485CE2">
          <w:pPr>
            <w:pStyle w:val="Footer"/>
            <w:jc w:val="right"/>
            <w:rPr>
              <w:sz w:val="18"/>
              <w:szCs w:val="18"/>
            </w:rPr>
          </w:pPr>
          <w:r w:rsidRPr="000820C4">
            <w:rPr>
              <w:sz w:val="18"/>
              <w:szCs w:val="18"/>
            </w:rPr>
            <w:t xml:space="preserve">Page </w:t>
          </w:r>
          <w:r w:rsidRPr="000820C4">
            <w:rPr>
              <w:b/>
              <w:sz w:val="18"/>
              <w:szCs w:val="18"/>
            </w:rPr>
            <w:fldChar w:fldCharType="begin"/>
          </w:r>
          <w:r w:rsidRPr="000820C4">
            <w:rPr>
              <w:sz w:val="18"/>
              <w:szCs w:val="18"/>
            </w:rPr>
            <w:instrText>PAGE</w:instrText>
          </w:r>
          <w:r w:rsidRPr="000820C4">
            <w:rPr>
              <w:sz w:val="18"/>
              <w:szCs w:val="18"/>
            </w:rPr>
            <w:fldChar w:fldCharType="separate"/>
          </w:r>
          <w:r w:rsidR="00F3457D">
            <w:rPr>
              <w:noProof/>
              <w:sz w:val="18"/>
              <w:szCs w:val="18"/>
            </w:rPr>
            <w:t>1</w:t>
          </w:r>
          <w:r w:rsidRPr="000820C4">
            <w:rPr>
              <w:sz w:val="18"/>
              <w:szCs w:val="18"/>
            </w:rPr>
            <w:fldChar w:fldCharType="end"/>
          </w:r>
          <w:r w:rsidRPr="000820C4">
            <w:rPr>
              <w:sz w:val="18"/>
              <w:szCs w:val="18"/>
            </w:rPr>
            <w:t xml:space="preserve"> of </w:t>
          </w:r>
          <w:r w:rsidRPr="000820C4">
            <w:rPr>
              <w:b/>
              <w:sz w:val="18"/>
              <w:szCs w:val="18"/>
            </w:rPr>
            <w:fldChar w:fldCharType="begin"/>
          </w:r>
          <w:r w:rsidRPr="000820C4">
            <w:rPr>
              <w:sz w:val="18"/>
              <w:szCs w:val="18"/>
            </w:rPr>
            <w:instrText>NUMPAGES</w:instrText>
          </w:r>
          <w:r w:rsidRPr="000820C4">
            <w:rPr>
              <w:sz w:val="18"/>
              <w:szCs w:val="18"/>
            </w:rPr>
            <w:fldChar w:fldCharType="separate"/>
          </w:r>
          <w:r w:rsidR="00F3457D">
            <w:rPr>
              <w:noProof/>
              <w:sz w:val="18"/>
              <w:szCs w:val="18"/>
            </w:rPr>
            <w:t>1</w:t>
          </w:r>
          <w:r w:rsidRPr="000820C4">
            <w:rPr>
              <w:sz w:val="18"/>
              <w:szCs w:val="18"/>
            </w:rPr>
            <w:fldChar w:fldCharType="end"/>
          </w:r>
        </w:p>
      </w:tc>
    </w:tr>
  </w:tbl>
  <w:p w14:paraId="579A07B2" w14:textId="40A7E789" w:rsidR="00583974" w:rsidRDefault="00CB1169" w:rsidP="00CB1169">
    <w:pPr>
      <w:spacing w:after="0"/>
      <w:jc w:val="center"/>
      <w:rPr>
        <w:sz w:val="16"/>
        <w:szCs w:val="16"/>
      </w:rPr>
    </w:pPr>
    <w:r w:rsidRPr="00CB1169">
      <w:rPr>
        <w:sz w:val="16"/>
        <w:szCs w:val="16"/>
      </w:rPr>
      <w:t xml:space="preserve">©2022 This template may be used by clients of </w:t>
    </w:r>
    <w:proofErr w:type="spellStart"/>
    <w:r w:rsidRPr="00CB1169">
      <w:rPr>
        <w:sz w:val="16"/>
        <w:szCs w:val="16"/>
      </w:rPr>
      <w:t>Advisera</w:t>
    </w:r>
    <w:proofErr w:type="spellEnd"/>
    <w:r w:rsidRPr="00CB1169">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5458" w14:textId="77777777" w:rsidR="00224CB0" w:rsidRDefault="00224CB0">
      <w:pPr>
        <w:spacing w:after="0" w:line="240" w:lineRule="auto"/>
      </w:pPr>
      <w:r>
        <w:separator/>
      </w:r>
    </w:p>
  </w:footnote>
  <w:footnote w:type="continuationSeparator" w:id="0">
    <w:p w14:paraId="19465022" w14:textId="77777777" w:rsidR="00224CB0" w:rsidRDefault="00224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583974" w14:paraId="4911ED33" w14:textId="77777777" w:rsidTr="00842EC5">
      <w:tc>
        <w:tcPr>
          <w:tcW w:w="6589" w:type="dxa"/>
          <w:shd w:val="clear" w:color="auto" w:fill="auto"/>
        </w:tcPr>
        <w:p w14:paraId="11BCCDA5" w14:textId="710EBF2A" w:rsidR="00583974" w:rsidRDefault="00485CE2">
          <w:pPr>
            <w:pStyle w:val="Header"/>
            <w:spacing w:after="0"/>
            <w:rPr>
              <w:sz w:val="20"/>
              <w:szCs w:val="20"/>
            </w:rPr>
          </w:pPr>
          <w:r>
            <w:rPr>
              <w:sz w:val="20"/>
            </w:rPr>
            <w:t>[organization name]</w:t>
          </w:r>
        </w:p>
      </w:tc>
      <w:tc>
        <w:tcPr>
          <w:tcW w:w="2482" w:type="dxa"/>
          <w:shd w:val="clear" w:color="auto" w:fill="auto"/>
        </w:tcPr>
        <w:p w14:paraId="1329E3B9" w14:textId="77777777" w:rsidR="00583974" w:rsidRDefault="00485CE2">
          <w:pPr>
            <w:pStyle w:val="Header"/>
            <w:spacing w:after="0"/>
            <w:jc w:val="right"/>
            <w:rPr>
              <w:sz w:val="20"/>
              <w:szCs w:val="20"/>
            </w:rPr>
          </w:pPr>
          <w:r>
            <w:rPr>
              <w:sz w:val="20"/>
            </w:rPr>
            <w:t>[confidentiality level]</w:t>
          </w:r>
        </w:p>
      </w:tc>
    </w:tr>
  </w:tbl>
  <w:p w14:paraId="4FC591D2" w14:textId="77777777" w:rsidR="00583974" w:rsidRDefault="0058397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A5D"/>
    <w:multiLevelType w:val="multilevel"/>
    <w:tmpl w:val="CCE2A7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D36BAB"/>
    <w:multiLevelType w:val="multilevel"/>
    <w:tmpl w:val="ACC22C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5B40A3A"/>
    <w:multiLevelType w:val="multilevel"/>
    <w:tmpl w:val="128007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7711D0E"/>
    <w:multiLevelType w:val="multilevel"/>
    <w:tmpl w:val="A3707D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24D5965"/>
    <w:multiLevelType w:val="multilevel"/>
    <w:tmpl w:val="7CDA28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F66465"/>
    <w:multiLevelType w:val="multilevel"/>
    <w:tmpl w:val="A4524F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FB401E1"/>
    <w:multiLevelType w:val="multilevel"/>
    <w:tmpl w:val="71369E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5445278"/>
    <w:multiLevelType w:val="multilevel"/>
    <w:tmpl w:val="0180CA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54D06D3"/>
    <w:multiLevelType w:val="multilevel"/>
    <w:tmpl w:val="0A4C60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832154E"/>
    <w:multiLevelType w:val="multilevel"/>
    <w:tmpl w:val="31CA79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B8B1628"/>
    <w:multiLevelType w:val="multilevel"/>
    <w:tmpl w:val="6A8A8D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FA00D77"/>
    <w:multiLevelType w:val="multilevel"/>
    <w:tmpl w:val="7E006C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0AA7505"/>
    <w:multiLevelType w:val="multilevel"/>
    <w:tmpl w:val="2D7423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59C26DA"/>
    <w:multiLevelType w:val="multilevel"/>
    <w:tmpl w:val="5122EC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5EE0F3B"/>
    <w:multiLevelType w:val="multilevel"/>
    <w:tmpl w:val="F3F493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C0D4EB1"/>
    <w:multiLevelType w:val="multilevel"/>
    <w:tmpl w:val="4ED4A3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CEE12C3"/>
    <w:multiLevelType w:val="multilevel"/>
    <w:tmpl w:val="C83EAD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20542A2"/>
    <w:multiLevelType w:val="multilevel"/>
    <w:tmpl w:val="074C5D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5C65139"/>
    <w:multiLevelType w:val="multilevel"/>
    <w:tmpl w:val="624205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5D168D2"/>
    <w:multiLevelType w:val="multilevel"/>
    <w:tmpl w:val="311C7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88C4DB2"/>
    <w:multiLevelType w:val="multilevel"/>
    <w:tmpl w:val="D32828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A8B4C62"/>
    <w:multiLevelType w:val="multilevel"/>
    <w:tmpl w:val="013A6E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BF04FE6"/>
    <w:multiLevelType w:val="multilevel"/>
    <w:tmpl w:val="036EFA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D695001"/>
    <w:multiLevelType w:val="multilevel"/>
    <w:tmpl w:val="E92CFE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F895CED"/>
    <w:multiLevelType w:val="multilevel"/>
    <w:tmpl w:val="822AFA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0934533"/>
    <w:multiLevelType w:val="multilevel"/>
    <w:tmpl w:val="EBD4BF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1DD1867"/>
    <w:multiLevelType w:val="multilevel"/>
    <w:tmpl w:val="CED66E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0F818D6"/>
    <w:multiLevelType w:val="multilevel"/>
    <w:tmpl w:val="EF38DE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14063FA"/>
    <w:multiLevelType w:val="multilevel"/>
    <w:tmpl w:val="74E27C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38C21FF"/>
    <w:multiLevelType w:val="multilevel"/>
    <w:tmpl w:val="E44266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9B26ED6"/>
    <w:multiLevelType w:val="multilevel"/>
    <w:tmpl w:val="9AAE9798"/>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7B0F507D"/>
    <w:multiLevelType w:val="multilevel"/>
    <w:tmpl w:val="315CE6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D7124F6"/>
    <w:multiLevelType w:val="multilevel"/>
    <w:tmpl w:val="47FC0D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53253265">
    <w:abstractNumId w:val="30"/>
  </w:num>
  <w:num w:numId="2" w16cid:durableId="883634491">
    <w:abstractNumId w:val="5"/>
  </w:num>
  <w:num w:numId="3" w16cid:durableId="450635730">
    <w:abstractNumId w:val="32"/>
  </w:num>
  <w:num w:numId="4" w16cid:durableId="1945992667">
    <w:abstractNumId w:val="6"/>
  </w:num>
  <w:num w:numId="5" w16cid:durableId="1675448034">
    <w:abstractNumId w:val="26"/>
  </w:num>
  <w:num w:numId="6" w16cid:durableId="1335839839">
    <w:abstractNumId w:val="15"/>
  </w:num>
  <w:num w:numId="7" w16cid:durableId="523252667">
    <w:abstractNumId w:val="14"/>
  </w:num>
  <w:num w:numId="8" w16cid:durableId="1239751038">
    <w:abstractNumId w:val="3"/>
  </w:num>
  <w:num w:numId="9" w16cid:durableId="1562014242">
    <w:abstractNumId w:val="18"/>
  </w:num>
  <w:num w:numId="10" w16cid:durableId="206724192">
    <w:abstractNumId w:val="25"/>
  </w:num>
  <w:num w:numId="11" w16cid:durableId="1592155121">
    <w:abstractNumId w:val="8"/>
  </w:num>
  <w:num w:numId="12" w16cid:durableId="451754616">
    <w:abstractNumId w:val="28"/>
  </w:num>
  <w:num w:numId="13" w16cid:durableId="573125164">
    <w:abstractNumId w:val="21"/>
  </w:num>
  <w:num w:numId="14" w16cid:durableId="295452865">
    <w:abstractNumId w:val="16"/>
  </w:num>
  <w:num w:numId="15" w16cid:durableId="1133138465">
    <w:abstractNumId w:val="24"/>
  </w:num>
  <w:num w:numId="16" w16cid:durableId="1990547744">
    <w:abstractNumId w:val="11"/>
  </w:num>
  <w:num w:numId="17" w16cid:durableId="2084788142">
    <w:abstractNumId w:val="4"/>
  </w:num>
  <w:num w:numId="18" w16cid:durableId="2124568115">
    <w:abstractNumId w:val="9"/>
  </w:num>
  <w:num w:numId="19" w16cid:durableId="1373457311">
    <w:abstractNumId w:val="17"/>
  </w:num>
  <w:num w:numId="20" w16cid:durableId="1179003232">
    <w:abstractNumId w:val="10"/>
  </w:num>
  <w:num w:numId="21" w16cid:durableId="1895043734">
    <w:abstractNumId w:val="0"/>
  </w:num>
  <w:num w:numId="22" w16cid:durableId="820460697">
    <w:abstractNumId w:val="19"/>
  </w:num>
  <w:num w:numId="23" w16cid:durableId="1652631429">
    <w:abstractNumId w:val="2"/>
  </w:num>
  <w:num w:numId="24" w16cid:durableId="1264462659">
    <w:abstractNumId w:val="27"/>
  </w:num>
  <w:num w:numId="25" w16cid:durableId="1777824119">
    <w:abstractNumId w:val="1"/>
  </w:num>
  <w:num w:numId="26" w16cid:durableId="584605467">
    <w:abstractNumId w:val="12"/>
  </w:num>
  <w:num w:numId="27" w16cid:durableId="1065838510">
    <w:abstractNumId w:val="22"/>
  </w:num>
  <w:num w:numId="28" w16cid:durableId="2030717553">
    <w:abstractNumId w:val="7"/>
  </w:num>
  <w:num w:numId="29" w16cid:durableId="2114158297">
    <w:abstractNumId w:val="13"/>
  </w:num>
  <w:num w:numId="30" w16cid:durableId="907422853">
    <w:abstractNumId w:val="31"/>
  </w:num>
  <w:num w:numId="31" w16cid:durableId="948852481">
    <w:abstractNumId w:val="23"/>
  </w:num>
  <w:num w:numId="32" w16cid:durableId="1289240564">
    <w:abstractNumId w:val="20"/>
  </w:num>
  <w:num w:numId="33" w16cid:durableId="1134446652">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974"/>
    <w:rsid w:val="000820C4"/>
    <w:rsid w:val="0013459F"/>
    <w:rsid w:val="00224CB0"/>
    <w:rsid w:val="002E1067"/>
    <w:rsid w:val="00485CE2"/>
    <w:rsid w:val="00513D5D"/>
    <w:rsid w:val="005643C8"/>
    <w:rsid w:val="00583974"/>
    <w:rsid w:val="00614237"/>
    <w:rsid w:val="00623295"/>
    <w:rsid w:val="00697384"/>
    <w:rsid w:val="00760F3C"/>
    <w:rsid w:val="00761150"/>
    <w:rsid w:val="00842EC5"/>
    <w:rsid w:val="009019B5"/>
    <w:rsid w:val="009370B9"/>
    <w:rsid w:val="009D59FF"/>
    <w:rsid w:val="00B91BE6"/>
    <w:rsid w:val="00B96785"/>
    <w:rsid w:val="00CB1169"/>
    <w:rsid w:val="00CD712A"/>
    <w:rsid w:val="00DB2BBB"/>
    <w:rsid w:val="00E816AC"/>
    <w:rsid w:val="00F16249"/>
    <w:rsid w:val="00F3457D"/>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F931E"/>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384"/>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697384"/>
    <w:rPr>
      <w:sz w:val="16"/>
      <w:szCs w:val="16"/>
      <w:lang w:val="en-GB"/>
    </w:rPr>
  </w:style>
  <w:style w:type="character" w:customStyle="1" w:styleId="CommentTextChar">
    <w:name w:val="Comment Text Char"/>
    <w:link w:val="CommentText"/>
    <w:uiPriority w:val="99"/>
    <w:semiHidden/>
    <w:qFormat/>
    <w:rsid w:val="00697384"/>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eastAsia="Calibri" w:cs="Calibri"/>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697384"/>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019B5"/>
    <w:rPr>
      <w:color w:val="0000FF" w:themeColor="hyperlink"/>
      <w:u w:val="single"/>
    </w:rPr>
  </w:style>
  <w:style w:type="character" w:customStyle="1" w:styleId="UnresolvedMention1">
    <w:name w:val="Unresolved Mention1"/>
    <w:basedOn w:val="DefaultParagraphFont"/>
    <w:uiPriority w:val="99"/>
    <w:semiHidden/>
    <w:unhideWhenUsed/>
    <w:rsid w:val="009019B5"/>
    <w:rPr>
      <w:color w:val="808080"/>
      <w:shd w:val="clear" w:color="auto" w:fill="E6E6E6"/>
    </w:rPr>
  </w:style>
  <w:style w:type="character" w:customStyle="1" w:styleId="BodyTextChar">
    <w:name w:val="Body Text Char"/>
    <w:basedOn w:val="DefaultParagraphFont"/>
    <w:link w:val="BodyText"/>
    <w:rsid w:val="00697384"/>
    <w:rPr>
      <w:sz w:val="22"/>
      <w:szCs w:val="22"/>
      <w:lang w:val="en-GB" w:eastAsia="en-US"/>
    </w:rPr>
  </w:style>
  <w:style w:type="character" w:styleId="UnresolvedMention">
    <w:name w:val="Unresolved Mention"/>
    <w:basedOn w:val="DefaultParagraphFont"/>
    <w:uiPriority w:val="99"/>
    <w:semiHidden/>
    <w:unhideWhenUsed/>
    <w:rsid w:val="00623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164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free-tools/free-iso-27001-gap-analysis-too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eu-gdpr-readiness-assessment/"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57C04-0271-4AB4-B245-FF223D18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EU GDPR Readiness Assessment</vt:lpstr>
    </vt:vector>
  </TitlesOfParts>
  <Company>Advisera Expert Solutions Ltd</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GDPR Readiness Assessment</dc:title>
  <dc:subject/>
  <dc:creator>[your name]</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2022-10-03T22:15:00Z</dcterms:created>
  <dcterms:modified xsi:type="dcterms:W3CDTF">2022-10-03T22:15:00Z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1505468757</vt:lpwstr>
  </property>
</Properties>
</file>