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4604E" w14:textId="77777777" w:rsidR="009253A3" w:rsidRPr="00C02EAE" w:rsidRDefault="009253A3"/>
    <w:p w14:paraId="57EF5DBC" w14:textId="77777777" w:rsidR="009253A3" w:rsidRPr="00C02EAE" w:rsidRDefault="009253A3">
      <w:pPr>
        <w:jc w:val="center"/>
      </w:pPr>
    </w:p>
    <w:p w14:paraId="14EBE77E" w14:textId="77777777" w:rsidR="009253A3" w:rsidRPr="00C02EAE" w:rsidRDefault="009B7E75">
      <w:pPr>
        <w:jc w:val="center"/>
        <w:rPr>
          <w:b/>
          <w:sz w:val="32"/>
          <w:szCs w:val="32"/>
        </w:rPr>
      </w:pPr>
      <w:commentRangeStart w:id="0"/>
      <w:r w:rsidRPr="00C02EAE">
        <w:rPr>
          <w:b/>
          <w:sz w:val="32"/>
          <w:szCs w:val="32"/>
        </w:rPr>
        <w:t>SUPPLIER DATA PROCESSING AGREEMENT</w:t>
      </w:r>
      <w:commentRangeEnd w:id="0"/>
      <w:r w:rsidR="00646938" w:rsidRPr="00C02EAE">
        <w:rPr>
          <w:rStyle w:val="CommentReference"/>
          <w:sz w:val="32"/>
          <w:szCs w:val="32"/>
        </w:rPr>
        <w:commentReference w:id="0"/>
      </w:r>
    </w:p>
    <w:p w14:paraId="391C795B" w14:textId="2BC216B7" w:rsidR="009253A3" w:rsidRPr="00C02EAE" w:rsidRDefault="00C02EAE" w:rsidP="00C02EAE">
      <w:pPr>
        <w:jc w:val="center"/>
      </w:pPr>
      <w:r w:rsidRPr="00C02EAE">
        <w:t>** FREE PREVIEW VERSION **</w:t>
      </w:r>
    </w:p>
    <w:p w14:paraId="146874D3" w14:textId="77777777" w:rsidR="009253A3" w:rsidRPr="00C02EAE" w:rsidRDefault="009253A3"/>
    <w:p w14:paraId="06567130" w14:textId="77777777" w:rsidR="009253A3" w:rsidRPr="00C02EAE" w:rsidRDefault="009253A3"/>
    <w:p w14:paraId="3D40EA32" w14:textId="77777777" w:rsidR="009253A3" w:rsidRPr="00C02EAE" w:rsidRDefault="009B7E75">
      <w:pPr>
        <w:rPr>
          <w:b/>
        </w:rPr>
      </w:pPr>
      <w:r w:rsidRPr="00C02EAE">
        <w:t>This Data Protection Agreement ("</w:t>
      </w:r>
      <w:r w:rsidRPr="00C02EAE">
        <w:rPr>
          <w:b/>
        </w:rPr>
        <w:t>Agreement</w:t>
      </w:r>
      <w:r w:rsidRPr="00C02EAE">
        <w:t>"), dated _______________ ("</w:t>
      </w:r>
      <w:r w:rsidRPr="00C02EAE">
        <w:rPr>
          <w:b/>
        </w:rPr>
        <w:t>Agreement Effective Date</w:t>
      </w:r>
      <w:r w:rsidRPr="00C02EAE">
        <w:t xml:space="preserve">") forms part of the </w:t>
      </w:r>
      <w:commentRangeStart w:id="1"/>
      <w:r w:rsidRPr="00C02EAE">
        <w:t>_____________________</w:t>
      </w:r>
      <w:commentRangeEnd w:id="1"/>
      <w:r w:rsidR="00646938" w:rsidRPr="00C02EAE">
        <w:rPr>
          <w:rStyle w:val="CommentReference"/>
        </w:rPr>
        <w:commentReference w:id="1"/>
      </w:r>
      <w:r w:rsidRPr="00C02EAE">
        <w:t xml:space="preserve"> ("</w:t>
      </w:r>
      <w:commentRangeStart w:id="2"/>
      <w:r w:rsidRPr="00C02EAE">
        <w:rPr>
          <w:b/>
        </w:rPr>
        <w:t>Principal Agreement</w:t>
      </w:r>
      <w:commentRangeEnd w:id="2"/>
      <w:r w:rsidR="00646938" w:rsidRPr="00C02EAE">
        <w:rPr>
          <w:rStyle w:val="CommentReference"/>
        </w:rPr>
        <w:commentReference w:id="2"/>
      </w:r>
      <w:r w:rsidRPr="00C02EAE">
        <w:t>") between:</w:t>
      </w:r>
    </w:p>
    <w:p w14:paraId="7E655CFF" w14:textId="77777777" w:rsidR="009253A3" w:rsidRPr="00C02EAE" w:rsidRDefault="009253A3"/>
    <w:p w14:paraId="11ADA4DE" w14:textId="77777777" w:rsidR="009253A3" w:rsidRPr="00C02EAE" w:rsidRDefault="009B7E75">
      <w:pPr>
        <w:jc w:val="center"/>
      </w:pPr>
      <w:r w:rsidRPr="00C02EAE">
        <w:t>[</w:t>
      </w:r>
      <w:commentRangeStart w:id="3"/>
      <w:r w:rsidRPr="00C02EAE">
        <w:t>Company name</w:t>
      </w:r>
      <w:commentRangeEnd w:id="3"/>
      <w:r w:rsidR="00646938" w:rsidRPr="00C02EAE">
        <w:rPr>
          <w:rStyle w:val="CommentReference"/>
        </w:rPr>
        <w:commentReference w:id="3"/>
      </w:r>
      <w:r w:rsidRPr="00C02EAE">
        <w:rPr>
          <w:b/>
        </w:rPr>
        <w:t xml:space="preserve">] </w:t>
      </w:r>
      <w:r w:rsidRPr="00C02EAE">
        <w:t>(</w:t>
      </w:r>
      <w:proofErr w:type="gramStart"/>
      <w:r w:rsidRPr="00C02EAE">
        <w:t>hereinafter</w:t>
      </w:r>
      <w:proofErr w:type="gramEnd"/>
      <w:r w:rsidRPr="00C02EAE">
        <w:t xml:space="preserve"> referred as the "</w:t>
      </w:r>
      <w:r w:rsidRPr="00C02EAE">
        <w:rPr>
          <w:b/>
        </w:rPr>
        <w:t>Controller</w:t>
      </w:r>
      <w:r w:rsidRPr="00C02EAE">
        <w:t>") acting on its own behalf;</w:t>
      </w:r>
    </w:p>
    <w:p w14:paraId="4D9A806F" w14:textId="77777777" w:rsidR="009253A3" w:rsidRPr="00C02EAE" w:rsidRDefault="009B7E75">
      <w:pPr>
        <w:jc w:val="center"/>
      </w:pPr>
      <w:proofErr w:type="gramStart"/>
      <w:r w:rsidRPr="00C02EAE">
        <w:t>and</w:t>
      </w:r>
      <w:proofErr w:type="gramEnd"/>
    </w:p>
    <w:p w14:paraId="3B3E0D79" w14:textId="77777777" w:rsidR="009253A3" w:rsidRPr="00C02EAE" w:rsidRDefault="009B7E75">
      <w:pPr>
        <w:jc w:val="center"/>
      </w:pPr>
      <w:r w:rsidRPr="00C02EAE">
        <w:t>[</w:t>
      </w:r>
      <w:commentRangeStart w:id="4"/>
      <w:r w:rsidRPr="00C02EAE">
        <w:t>Supplier Name</w:t>
      </w:r>
      <w:commentRangeEnd w:id="4"/>
      <w:r w:rsidR="00646938" w:rsidRPr="00C02EAE">
        <w:rPr>
          <w:rStyle w:val="CommentReference"/>
        </w:rPr>
        <w:commentReference w:id="4"/>
      </w:r>
      <w:r w:rsidRPr="00C02EAE">
        <w:t>]</w:t>
      </w:r>
      <w:r w:rsidRPr="00C02EAE">
        <w:rPr>
          <w:b/>
        </w:rPr>
        <w:t xml:space="preserve"> (</w:t>
      </w:r>
      <w:proofErr w:type="gramStart"/>
      <w:r w:rsidRPr="00C02EAE">
        <w:t>hereinafter</w:t>
      </w:r>
      <w:proofErr w:type="gramEnd"/>
      <w:r w:rsidRPr="00C02EAE">
        <w:t xml:space="preserve"> referred as the </w:t>
      </w:r>
      <w:r w:rsidRPr="00C02EAE">
        <w:rPr>
          <w:b/>
        </w:rPr>
        <w:t>“Processor</w:t>
      </w:r>
      <w:r w:rsidRPr="00C02EAE">
        <w:t>"</w:t>
      </w:r>
      <w:r w:rsidRPr="00C02EAE">
        <w:rPr>
          <w:b/>
        </w:rPr>
        <w:t xml:space="preserve">) </w:t>
      </w:r>
      <w:r w:rsidRPr="00C02EAE">
        <w:t>acting on its own behalf.</w:t>
      </w:r>
    </w:p>
    <w:p w14:paraId="5697AB0E" w14:textId="77777777" w:rsidR="009253A3" w:rsidRPr="00C02EAE" w:rsidRDefault="009253A3"/>
    <w:p w14:paraId="138A1899" w14:textId="77777777" w:rsidR="009253A3" w:rsidRPr="00C02EAE" w:rsidRDefault="009B7E75">
      <w:r w:rsidRPr="00C02EAE">
        <w:t xml:space="preserve">The terms used in this Agreement shall have the meanings set forth in this Addendum. Terms not otherwise defined herein shall have the meaning given to them in the Principal Agreement.  Except as modified below, the terms of the Principal Agreement shall remain in full force and effect.   </w:t>
      </w:r>
    </w:p>
    <w:p w14:paraId="33DE5743" w14:textId="77777777" w:rsidR="009253A3" w:rsidRPr="00C02EAE" w:rsidRDefault="009B7E75">
      <w:r w:rsidRPr="00C02EAE">
        <w:t xml:space="preserve">The parties hereby agree that the terms and conditions set out below shall be added as an Addendum to the Principal Agreement. </w:t>
      </w:r>
    </w:p>
    <w:p w14:paraId="1C28203A" w14:textId="77777777" w:rsidR="00646938" w:rsidRPr="00C02EAE" w:rsidRDefault="00646938"/>
    <w:p w14:paraId="73C66939" w14:textId="77777777" w:rsidR="009253A3" w:rsidRPr="00C02EAE" w:rsidRDefault="009B7E75">
      <w:pPr>
        <w:pStyle w:val="Heading1"/>
        <w:numPr>
          <w:ilvl w:val="0"/>
          <w:numId w:val="2"/>
        </w:numPr>
      </w:pPr>
      <w:r w:rsidRPr="00C02EAE">
        <w:t>Definitions</w:t>
      </w:r>
    </w:p>
    <w:p w14:paraId="1DBF9F47" w14:textId="77777777" w:rsidR="009253A3" w:rsidRPr="00C02EAE" w:rsidRDefault="009B7E75">
      <w:r w:rsidRPr="00C02EAE">
        <w:t xml:space="preserve">In this Agreement, the following terms shall have the meanings set out below and cognate terms shall be construed accordingly: </w:t>
      </w:r>
    </w:p>
    <w:p w14:paraId="5B4E2C1A" w14:textId="77777777" w:rsidR="009253A3" w:rsidRPr="00C02EAE" w:rsidRDefault="009B7E75">
      <w:bookmarkStart w:id="5" w:name="__RefHeading__4810_1666202430"/>
      <w:bookmarkEnd w:id="5"/>
      <w:r w:rsidRPr="00C02EAE">
        <w:rPr>
          <w:b/>
          <w:bCs/>
          <w:i/>
        </w:rPr>
        <w:t xml:space="preserve">"Authorised Sub-processors" </w:t>
      </w:r>
      <w:r w:rsidRPr="00C02EAE">
        <w:t>means (a) those Sub-processors set out in Annex 3 (Authorised Transfers of Controller Personal Data); and (b) any additional Sub-processors consented to in writing by Controller in accordance with Sub-processing section.</w:t>
      </w:r>
    </w:p>
    <w:p w14:paraId="60FEBBF5" w14:textId="77777777" w:rsidR="009253A3" w:rsidRPr="00C02EAE" w:rsidRDefault="009B7E75">
      <w:r w:rsidRPr="00C02EAE">
        <w:rPr>
          <w:b/>
          <w:i/>
        </w:rPr>
        <w:t>"Sub-processor"</w:t>
      </w:r>
      <w:r w:rsidRPr="00C02EAE">
        <w:t xml:space="preserve"> means any Data Processor (including any third party) appointed by the Processor to process Controller Personal Data on behalf of the Controller.</w:t>
      </w:r>
    </w:p>
    <w:p w14:paraId="277D9007" w14:textId="77777777" w:rsidR="009253A3" w:rsidRPr="00C02EAE" w:rsidRDefault="009B7E75">
      <w:bookmarkStart w:id="6" w:name="__RefHeading__4812_1666202430"/>
      <w:bookmarkEnd w:id="6"/>
      <w:r w:rsidRPr="00C02EAE">
        <w:rPr>
          <w:b/>
          <w:bCs/>
          <w:i/>
        </w:rPr>
        <w:t>"Process/Processing/Processed", "Data Controller", "Data Processor", "Data Subject", "Personal Data", "Special Categories of Personal Data"</w:t>
      </w:r>
      <w:r w:rsidRPr="00C02EAE">
        <w:rPr>
          <w:i/>
        </w:rPr>
        <w:t xml:space="preserve"> </w:t>
      </w:r>
      <w:r w:rsidRPr="00C02EAE">
        <w:t>and any further definition not included under this Agreement or the Principal Agreement shall have the same meaning as in EU General Data Protection Regulation 2016/679 of the European Parliament and of the Council ("GDPR").</w:t>
      </w:r>
    </w:p>
    <w:p w14:paraId="170B3736" w14:textId="77777777" w:rsidR="009253A3" w:rsidRPr="00C02EAE" w:rsidRDefault="009B7E75">
      <w:r w:rsidRPr="00C02EAE">
        <w:rPr>
          <w:b/>
          <w:bCs/>
          <w:i/>
        </w:rPr>
        <w:lastRenderedPageBreak/>
        <w:t xml:space="preserve">“Data Protection Laws” </w:t>
      </w:r>
      <w:r w:rsidRPr="00C02EAE">
        <w:t>means EU General Data Protection Regulation 2016/679 of the European Parliament and of the Council ("GDPR") as well as any local data protection laws</w:t>
      </w:r>
      <w:r w:rsidRPr="00C02EAE">
        <w:rPr>
          <w:b/>
          <w:bCs/>
          <w:i/>
        </w:rPr>
        <w:t>.</w:t>
      </w:r>
    </w:p>
    <w:p w14:paraId="2451BDDA" w14:textId="77777777" w:rsidR="009253A3" w:rsidRPr="00C02EAE" w:rsidRDefault="009B7E75">
      <w:bookmarkStart w:id="7" w:name="__RefHeading__4814_1666202430"/>
      <w:bookmarkEnd w:id="7"/>
      <w:r w:rsidRPr="00C02EAE">
        <w:rPr>
          <w:b/>
          <w:bCs/>
          <w:i/>
        </w:rPr>
        <w:t xml:space="preserve"> “Erasure"</w:t>
      </w:r>
      <w:r w:rsidRPr="00C02EAE">
        <w:rPr>
          <w:b/>
          <w:bCs/>
        </w:rPr>
        <w:t xml:space="preserve"> </w:t>
      </w:r>
      <w:r w:rsidRPr="00C02EAE">
        <w:t>means the removal or destruction of Personal Data such that it cannot be recovered or reconstructed</w:t>
      </w:r>
      <w:r w:rsidRPr="00C02EAE">
        <w:rPr>
          <w:b/>
          <w:bCs/>
          <w:i/>
        </w:rPr>
        <w:t>.</w:t>
      </w:r>
    </w:p>
    <w:p w14:paraId="6EED269D" w14:textId="77777777" w:rsidR="009253A3" w:rsidRPr="00C02EAE" w:rsidRDefault="009B7E75">
      <w:bookmarkStart w:id="8" w:name="__RefHeading__4818_1666202430"/>
      <w:bookmarkEnd w:id="8"/>
      <w:r w:rsidRPr="00C02EAE">
        <w:rPr>
          <w:b/>
          <w:bCs/>
          <w:i/>
        </w:rPr>
        <w:t>"EEA"</w:t>
      </w:r>
      <w:r w:rsidRPr="00C02EAE">
        <w:rPr>
          <w:i/>
        </w:rPr>
        <w:t xml:space="preserve"> </w:t>
      </w:r>
      <w:r w:rsidRPr="00C02EAE">
        <w:t>means the European Economic Area.</w:t>
      </w:r>
    </w:p>
    <w:p w14:paraId="1AEF4DBF" w14:textId="77777777" w:rsidR="009253A3" w:rsidRPr="00C02EAE" w:rsidRDefault="009B7E75">
      <w:r w:rsidRPr="00C02EAE">
        <w:rPr>
          <w:b/>
          <w:i/>
        </w:rPr>
        <w:t>"Third country</w:t>
      </w:r>
      <w:r w:rsidRPr="00C02EAE">
        <w:rPr>
          <w:b/>
        </w:rPr>
        <w:t>"</w:t>
      </w:r>
      <w:r w:rsidRPr="00C02EAE">
        <w:t xml:space="preserve"> means any country outside EU/EEA, except where that country is the subject of a valid adequacy decision by the European Commission on the protection of Personal Data in Third Countries.</w:t>
      </w:r>
    </w:p>
    <w:p w14:paraId="698663D6" w14:textId="77777777" w:rsidR="009253A3" w:rsidRPr="00C02EAE" w:rsidRDefault="009B7E75">
      <w:pPr>
        <w:rPr>
          <w:b/>
          <w:bCs/>
        </w:rPr>
      </w:pPr>
      <w:bookmarkStart w:id="9" w:name="__RefHeading__4820_1666202430"/>
      <w:bookmarkEnd w:id="9"/>
      <w:r w:rsidRPr="00C02EAE">
        <w:rPr>
          <w:b/>
          <w:bCs/>
          <w:i/>
        </w:rPr>
        <w:t xml:space="preserve">"Controller Personal Data" </w:t>
      </w:r>
      <w:r w:rsidRPr="00C02EAE">
        <w:t>means the data described in Annex 1 and any other Personal Data processed by Processor on behalf of the Controller pursuant to or in connection with the Principal Agreement</w:t>
      </w:r>
      <w:r w:rsidRPr="00C02EAE">
        <w:rPr>
          <w:b/>
          <w:bCs/>
        </w:rPr>
        <w:t>.</w:t>
      </w:r>
    </w:p>
    <w:p w14:paraId="4FEE3EED" w14:textId="77777777" w:rsidR="00C02EAE" w:rsidRPr="00C02EAE" w:rsidRDefault="00C02EAE">
      <w:pPr>
        <w:rPr>
          <w:b/>
          <w:bCs/>
        </w:rPr>
      </w:pPr>
      <w:bookmarkStart w:id="10" w:name="_GoBack"/>
      <w:bookmarkEnd w:id="10"/>
    </w:p>
    <w:p w14:paraId="01F0D8C7" w14:textId="77777777" w:rsidR="00C02EAE" w:rsidRPr="00C02EAE" w:rsidRDefault="00C02EAE">
      <w:pPr>
        <w:rPr>
          <w:b/>
          <w:bCs/>
        </w:rPr>
      </w:pPr>
    </w:p>
    <w:p w14:paraId="12ACA1EC" w14:textId="77777777" w:rsidR="00C02EAE" w:rsidRPr="00C02EAE" w:rsidRDefault="00C02EAE" w:rsidP="00C02EAE">
      <w:pPr>
        <w:jc w:val="center"/>
        <w:rPr>
          <w:rFonts w:eastAsia="Times New Roman"/>
          <w:color w:val="auto"/>
        </w:rPr>
      </w:pPr>
      <w:r w:rsidRPr="00C02EAE">
        <w:rPr>
          <w:rFonts w:eastAsia="Times New Roman"/>
          <w:color w:val="auto"/>
        </w:rPr>
        <w:t>** END OF FREE PREVIEW **</w:t>
      </w:r>
    </w:p>
    <w:p w14:paraId="0FB8F322" w14:textId="25AFD68B" w:rsidR="00C02EAE" w:rsidRPr="00C02EAE" w:rsidRDefault="00C02EAE" w:rsidP="00C02EAE">
      <w:pPr>
        <w:jc w:val="center"/>
      </w:pPr>
      <w:r w:rsidRPr="00C02EAE">
        <w:rPr>
          <w:rFonts w:eastAsia="Times New Roman"/>
          <w:color w:val="auto"/>
        </w:rPr>
        <w:t xml:space="preserve">To download full version of this document click here: </w:t>
      </w:r>
      <w:hyperlink r:id="rId10" w:history="1">
        <w:r w:rsidRPr="00C02EAE">
          <w:rPr>
            <w:rStyle w:val="Hyperlink"/>
            <w:rFonts w:eastAsia="Times New Roman"/>
          </w:rPr>
          <w:t>https://advisera.com/eugdpracademy/documentation/supplier-data-processing-agreement/</w:t>
        </w:r>
      </w:hyperlink>
      <w:r w:rsidRPr="00C02EAE">
        <w:rPr>
          <w:rFonts w:eastAsia="Times New Roman"/>
          <w:color w:val="auto"/>
        </w:rPr>
        <w:t xml:space="preserve"> </w:t>
      </w:r>
    </w:p>
    <w:sectPr w:rsidR="00C02EAE" w:rsidRPr="00C02EAE">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9:01:00Z" w:initials="EUGDPR">
    <w:p w14:paraId="738F9540" w14:textId="382ADC3A" w:rsidR="00646938" w:rsidRPr="00646938" w:rsidRDefault="00646938" w:rsidP="00646938">
      <w:pPr>
        <w:rPr>
          <w:rFonts w:cs="Calibri"/>
          <w:sz w:val="20"/>
          <w:szCs w:val="20"/>
        </w:rPr>
      </w:pPr>
      <w:r w:rsidRPr="00646938">
        <w:rPr>
          <w:rStyle w:val="CommentReference"/>
          <w:rFonts w:cs="Calibri"/>
          <w:sz w:val="20"/>
          <w:szCs w:val="20"/>
        </w:rPr>
        <w:annotationRef/>
      </w:r>
      <w:r w:rsidRPr="00646938">
        <w:rPr>
          <w:rFonts w:eastAsia="DejaVu Sans" w:cs="Calibri"/>
          <w:color w:val="auto"/>
          <w:sz w:val="20"/>
          <w:szCs w:val="20"/>
          <w:lang w:bidi="en-US"/>
        </w:rPr>
        <w:t>This is not a standalone document. It is meant to be an annex to the commercial agreement with the supplier who is processing data on your behalf.</w:t>
      </w:r>
    </w:p>
  </w:comment>
  <w:comment w:id="1" w:author="EUGDPRAcademy" w:date="2017-10-23T19:01:00Z" w:initials="EUGDPR">
    <w:p w14:paraId="537AFC13" w14:textId="54BB09D4" w:rsidR="00646938" w:rsidRPr="00646938" w:rsidRDefault="00646938" w:rsidP="00646938">
      <w:pPr>
        <w:rPr>
          <w:rFonts w:cs="Calibri"/>
          <w:sz w:val="20"/>
          <w:szCs w:val="20"/>
        </w:rPr>
      </w:pPr>
      <w:r w:rsidRPr="00646938">
        <w:rPr>
          <w:rStyle w:val="CommentReference"/>
          <w:rFonts w:cs="Calibri"/>
          <w:sz w:val="20"/>
          <w:szCs w:val="20"/>
        </w:rPr>
        <w:annotationRef/>
      </w:r>
      <w:r w:rsidRPr="00646938">
        <w:rPr>
          <w:rFonts w:eastAsia="DejaVu Sans" w:cs="Calibri"/>
          <w:color w:val="auto"/>
          <w:sz w:val="20"/>
          <w:szCs w:val="20"/>
          <w:lang w:bidi="en-US"/>
        </w:rPr>
        <w:t>Please fill in with the number and date of the principal agreement/commercial agreement or with the name and data of the contract or principle/commercial agreement.</w:t>
      </w:r>
    </w:p>
  </w:comment>
  <w:comment w:id="2" w:author="EUGDPRAcademy" w:date="2017-10-23T19:01:00Z" w:initials="EUGDPR">
    <w:p w14:paraId="5B28BB8B" w14:textId="50210B2D" w:rsidR="00646938" w:rsidRPr="00646938" w:rsidRDefault="00646938" w:rsidP="00646938">
      <w:pPr>
        <w:rPr>
          <w:rFonts w:cs="Calibri"/>
          <w:sz w:val="20"/>
          <w:szCs w:val="20"/>
        </w:rPr>
      </w:pPr>
      <w:r w:rsidRPr="00646938">
        <w:rPr>
          <w:rStyle w:val="CommentReference"/>
          <w:rFonts w:cs="Calibri"/>
          <w:sz w:val="20"/>
          <w:szCs w:val="20"/>
        </w:rPr>
        <w:annotationRef/>
      </w:r>
      <w:r w:rsidRPr="00646938">
        <w:rPr>
          <w:rFonts w:eastAsia="DejaVu Sans" w:cs="Calibri"/>
          <w:color w:val="auto"/>
          <w:sz w:val="20"/>
          <w:szCs w:val="20"/>
          <w:lang w:bidi="en-US"/>
        </w:rPr>
        <w:t>This means the main commercial agreement.</w:t>
      </w:r>
    </w:p>
  </w:comment>
  <w:comment w:id="3" w:author="EUGDPRAcademy" w:date="2017-10-23T19:02:00Z" w:initials="EUGDPR">
    <w:p w14:paraId="0A4205BE" w14:textId="7D29E578" w:rsidR="00646938" w:rsidRPr="00646938" w:rsidRDefault="00646938" w:rsidP="00646938">
      <w:pPr>
        <w:rPr>
          <w:rFonts w:cs="Calibri"/>
          <w:sz w:val="20"/>
          <w:szCs w:val="20"/>
        </w:rPr>
      </w:pPr>
      <w:r w:rsidRPr="00646938">
        <w:rPr>
          <w:rStyle w:val="CommentReference"/>
          <w:rFonts w:cs="Calibri"/>
          <w:sz w:val="20"/>
          <w:szCs w:val="20"/>
        </w:rPr>
        <w:annotationRef/>
      </w:r>
      <w:r w:rsidRPr="00646938">
        <w:rPr>
          <w:rFonts w:eastAsia="DejaVu Sans" w:cs="Calibri"/>
          <w:color w:val="auto"/>
          <w:sz w:val="20"/>
          <w:szCs w:val="20"/>
          <w:lang w:bidi="en-US"/>
        </w:rPr>
        <w:t>Fill in with the full legal name and details of your company.</w:t>
      </w:r>
    </w:p>
  </w:comment>
  <w:comment w:id="4" w:author="EUGDPRAcademy" w:date="2017-10-23T19:02:00Z" w:initials="EUGDPR">
    <w:p w14:paraId="0922E601" w14:textId="4D0A5B41" w:rsidR="00646938" w:rsidRPr="00646938" w:rsidRDefault="00646938" w:rsidP="00646938">
      <w:pPr>
        <w:rPr>
          <w:rFonts w:cs="Calibri"/>
          <w:sz w:val="20"/>
          <w:szCs w:val="20"/>
        </w:rPr>
      </w:pPr>
      <w:r w:rsidRPr="00646938">
        <w:rPr>
          <w:rStyle w:val="CommentReference"/>
          <w:rFonts w:cs="Calibri"/>
          <w:sz w:val="20"/>
          <w:szCs w:val="20"/>
        </w:rPr>
        <w:annotationRef/>
      </w:r>
      <w:r w:rsidRPr="00646938">
        <w:rPr>
          <w:rFonts w:eastAsia="DejaVu Sans" w:cs="Calibri"/>
          <w:color w:val="auto"/>
          <w:sz w:val="20"/>
          <w:szCs w:val="20"/>
          <w:lang w:bidi="en-US"/>
        </w:rPr>
        <w:t>Fill in with the full legal name and details of your Supplier.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38F9540" w15:done="0"/>
  <w15:commentEx w15:paraId="537AFC13" w15:done="0"/>
  <w15:commentEx w15:paraId="5B28BB8B" w15:done="0"/>
  <w15:commentEx w15:paraId="0A4205BE" w15:done="0"/>
  <w15:commentEx w15:paraId="0922E60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C02CC4" w14:textId="77777777" w:rsidR="00A84CA1" w:rsidRDefault="00A84CA1">
      <w:pPr>
        <w:spacing w:after="0" w:line="240" w:lineRule="auto"/>
      </w:pPr>
      <w:r>
        <w:separator/>
      </w:r>
    </w:p>
  </w:endnote>
  <w:endnote w:type="continuationSeparator" w:id="0">
    <w:p w14:paraId="4934D27A" w14:textId="77777777" w:rsidR="00A84CA1" w:rsidRDefault="00A84C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9253A3" w:rsidRPr="00646938" w14:paraId="37D12BB5" w14:textId="77777777" w:rsidTr="00646938">
      <w:tc>
        <w:tcPr>
          <w:tcW w:w="3652" w:type="dxa"/>
          <w:shd w:val="clear" w:color="auto" w:fill="auto"/>
        </w:tcPr>
        <w:p w14:paraId="2F5BE5F6" w14:textId="77777777" w:rsidR="009253A3" w:rsidRPr="00646938" w:rsidRDefault="009B7E75">
          <w:pPr>
            <w:pStyle w:val="Footer"/>
            <w:rPr>
              <w:sz w:val="18"/>
              <w:szCs w:val="18"/>
            </w:rPr>
          </w:pPr>
          <w:r w:rsidRPr="00646938">
            <w:rPr>
              <w:sz w:val="18"/>
              <w:szCs w:val="18"/>
            </w:rPr>
            <w:t>Supplier Data Processing Agreement</w:t>
          </w:r>
        </w:p>
      </w:tc>
      <w:tc>
        <w:tcPr>
          <w:tcW w:w="2126" w:type="dxa"/>
          <w:shd w:val="clear" w:color="auto" w:fill="auto"/>
        </w:tcPr>
        <w:p w14:paraId="7391E80E" w14:textId="77777777" w:rsidR="009253A3" w:rsidRPr="00646938" w:rsidRDefault="009B7E75">
          <w:pPr>
            <w:pStyle w:val="Footer"/>
            <w:jc w:val="center"/>
            <w:rPr>
              <w:sz w:val="18"/>
              <w:szCs w:val="18"/>
            </w:rPr>
          </w:pPr>
          <w:proofErr w:type="spellStart"/>
          <w:r w:rsidRPr="00646938">
            <w:rPr>
              <w:sz w:val="18"/>
              <w:szCs w:val="18"/>
            </w:rPr>
            <w:t>ver</w:t>
          </w:r>
          <w:proofErr w:type="spellEnd"/>
          <w:r w:rsidRPr="00646938">
            <w:rPr>
              <w:sz w:val="18"/>
              <w:szCs w:val="18"/>
            </w:rPr>
            <w:t xml:space="preserve"> [version] from [date]</w:t>
          </w:r>
        </w:p>
      </w:tc>
      <w:tc>
        <w:tcPr>
          <w:tcW w:w="3544" w:type="dxa"/>
          <w:shd w:val="clear" w:color="auto" w:fill="auto"/>
        </w:tcPr>
        <w:p w14:paraId="3F804B2F" w14:textId="3ABEB3B9" w:rsidR="009253A3" w:rsidRPr="00646938" w:rsidRDefault="009B7E75">
          <w:pPr>
            <w:pStyle w:val="Footer"/>
            <w:jc w:val="right"/>
            <w:rPr>
              <w:sz w:val="18"/>
              <w:szCs w:val="18"/>
            </w:rPr>
          </w:pPr>
          <w:r w:rsidRPr="00646938">
            <w:rPr>
              <w:sz w:val="18"/>
              <w:szCs w:val="18"/>
            </w:rPr>
            <w:t xml:space="preserve">Page </w:t>
          </w:r>
          <w:r w:rsidRPr="00646938">
            <w:rPr>
              <w:sz w:val="18"/>
              <w:szCs w:val="18"/>
            </w:rPr>
            <w:fldChar w:fldCharType="begin"/>
          </w:r>
          <w:r w:rsidRPr="00646938">
            <w:rPr>
              <w:sz w:val="18"/>
              <w:szCs w:val="18"/>
            </w:rPr>
            <w:instrText>PAGE</w:instrText>
          </w:r>
          <w:r w:rsidRPr="00646938">
            <w:rPr>
              <w:sz w:val="18"/>
              <w:szCs w:val="18"/>
            </w:rPr>
            <w:fldChar w:fldCharType="separate"/>
          </w:r>
          <w:r w:rsidR="00C02EAE">
            <w:rPr>
              <w:noProof/>
              <w:sz w:val="18"/>
              <w:szCs w:val="18"/>
            </w:rPr>
            <w:t>2</w:t>
          </w:r>
          <w:r w:rsidRPr="00646938">
            <w:rPr>
              <w:sz w:val="18"/>
              <w:szCs w:val="18"/>
            </w:rPr>
            <w:fldChar w:fldCharType="end"/>
          </w:r>
          <w:r w:rsidRPr="00646938">
            <w:rPr>
              <w:sz w:val="18"/>
              <w:szCs w:val="18"/>
            </w:rPr>
            <w:t xml:space="preserve"> of </w:t>
          </w:r>
          <w:r w:rsidRPr="00646938">
            <w:rPr>
              <w:sz w:val="18"/>
              <w:szCs w:val="18"/>
            </w:rPr>
            <w:fldChar w:fldCharType="begin"/>
          </w:r>
          <w:r w:rsidRPr="00646938">
            <w:rPr>
              <w:sz w:val="18"/>
              <w:szCs w:val="18"/>
            </w:rPr>
            <w:instrText>NUMPAGES</w:instrText>
          </w:r>
          <w:r w:rsidRPr="00646938">
            <w:rPr>
              <w:sz w:val="18"/>
              <w:szCs w:val="18"/>
            </w:rPr>
            <w:fldChar w:fldCharType="separate"/>
          </w:r>
          <w:r w:rsidR="00C02EAE">
            <w:rPr>
              <w:noProof/>
              <w:sz w:val="18"/>
              <w:szCs w:val="18"/>
            </w:rPr>
            <w:t>2</w:t>
          </w:r>
          <w:r w:rsidRPr="00646938">
            <w:rPr>
              <w:sz w:val="18"/>
              <w:szCs w:val="18"/>
            </w:rPr>
            <w:fldChar w:fldCharType="end"/>
          </w:r>
        </w:p>
      </w:tc>
    </w:tr>
  </w:tbl>
  <w:p w14:paraId="6E868C3A" w14:textId="77777777" w:rsidR="009253A3" w:rsidRDefault="009B7E75">
    <w:pPr>
      <w:spacing w:after="0"/>
      <w:jc w:val="center"/>
      <w:rPr>
        <w:rFonts w:eastAsia="Times New Roman"/>
        <w:sz w:val="16"/>
        <w:szCs w:val="16"/>
      </w:rPr>
    </w:pPr>
    <w:r>
      <w:rPr>
        <w:rFonts w:eastAsia="Times New Roman"/>
        <w:sz w:val="16"/>
        <w:szCs w:val="16"/>
      </w:rPr>
      <w:t>©2017 This template may be used by clients of Advisera Expert Solutions Ltd.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F4CD7" w14:textId="77777777" w:rsidR="009253A3" w:rsidRDefault="009B7E75">
    <w:pPr>
      <w:spacing w:after="0"/>
      <w:jc w:val="center"/>
      <w:rPr>
        <w:rFonts w:eastAsia="Times New Roman"/>
        <w:sz w:val="16"/>
        <w:szCs w:val="16"/>
      </w:rPr>
    </w:pPr>
    <w:r>
      <w:rPr>
        <w:rFonts w:eastAsia="Times New Roman"/>
        <w:sz w:val="16"/>
        <w:szCs w:val="16"/>
      </w:rPr>
      <w:t>©2017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434DD6" w14:textId="77777777" w:rsidR="00A84CA1" w:rsidRDefault="00A84CA1">
      <w:pPr>
        <w:spacing w:after="0" w:line="240" w:lineRule="auto"/>
      </w:pPr>
      <w:r>
        <w:separator/>
      </w:r>
    </w:p>
  </w:footnote>
  <w:footnote w:type="continuationSeparator" w:id="0">
    <w:p w14:paraId="5D5F67E6" w14:textId="77777777" w:rsidR="00A84CA1" w:rsidRDefault="00A84C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9253A3" w14:paraId="13550225" w14:textId="77777777" w:rsidTr="00646938">
      <w:tc>
        <w:tcPr>
          <w:tcW w:w="6589" w:type="dxa"/>
          <w:shd w:val="clear" w:color="auto" w:fill="auto"/>
        </w:tcPr>
        <w:p w14:paraId="12F2A26A" w14:textId="77777777" w:rsidR="009253A3" w:rsidRDefault="009B7E75">
          <w:pPr>
            <w:pStyle w:val="Header"/>
            <w:spacing w:after="0"/>
            <w:rPr>
              <w:sz w:val="20"/>
              <w:szCs w:val="20"/>
            </w:rPr>
          </w:pPr>
          <w:r>
            <w:rPr>
              <w:sz w:val="20"/>
            </w:rPr>
            <w:t xml:space="preserve"> [organization name]</w:t>
          </w:r>
        </w:p>
      </w:tc>
      <w:tc>
        <w:tcPr>
          <w:tcW w:w="2482" w:type="dxa"/>
          <w:shd w:val="clear" w:color="auto" w:fill="auto"/>
        </w:tcPr>
        <w:p w14:paraId="014D7382" w14:textId="77777777" w:rsidR="009253A3" w:rsidRDefault="009B7E75">
          <w:pPr>
            <w:pStyle w:val="Header"/>
            <w:spacing w:after="0"/>
            <w:jc w:val="right"/>
            <w:rPr>
              <w:sz w:val="20"/>
              <w:szCs w:val="20"/>
            </w:rPr>
          </w:pPr>
          <w:r>
            <w:rPr>
              <w:sz w:val="20"/>
            </w:rPr>
            <w:t>[confidentiality level]</w:t>
          </w:r>
        </w:p>
      </w:tc>
    </w:tr>
  </w:tbl>
  <w:p w14:paraId="3F3FF699" w14:textId="77777777" w:rsidR="009253A3" w:rsidRDefault="009253A3">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E16FB"/>
    <w:multiLevelType w:val="multilevel"/>
    <w:tmpl w:val="875A228E"/>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
    <w:nsid w:val="23040844"/>
    <w:multiLevelType w:val="multilevel"/>
    <w:tmpl w:val="9C029C64"/>
    <w:lvl w:ilvl="0">
      <w:start w:val="7"/>
      <w:numFmt w:val="decimal"/>
      <w:lvlText w:val="%1"/>
      <w:lvlJc w:val="left"/>
      <w:pPr>
        <w:ind w:left="435" w:hanging="435"/>
      </w:pPr>
      <w:rPr>
        <w:b w:val="0"/>
        <w:i w:val="0"/>
      </w:rPr>
    </w:lvl>
    <w:lvl w:ilvl="1">
      <w:start w:val="3"/>
      <w:numFmt w:val="decimal"/>
      <w:lvlText w:val="%1.%2"/>
      <w:lvlJc w:val="left"/>
      <w:pPr>
        <w:ind w:left="435" w:hanging="435"/>
      </w:pPr>
      <w:rPr>
        <w:b w:val="0"/>
        <w:i w:val="0"/>
      </w:rPr>
    </w:lvl>
    <w:lvl w:ilvl="2">
      <w:start w:val="1"/>
      <w:numFmt w:val="decimal"/>
      <w:lvlText w:val="%1.%2.%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2">
    <w:nsid w:val="292A755A"/>
    <w:multiLevelType w:val="multilevel"/>
    <w:tmpl w:val="78EC81A2"/>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nsid w:val="2BFF0E38"/>
    <w:multiLevelType w:val="multilevel"/>
    <w:tmpl w:val="5E58D34A"/>
    <w:lvl w:ilvl="0">
      <w:start w:val="1"/>
      <w:numFmt w:val="decimal"/>
      <w:lvlText w:val="%1."/>
      <w:lvlJc w:val="left"/>
      <w:pPr>
        <w:ind w:left="425" w:hanging="425"/>
      </w:pPr>
    </w:lvl>
    <w:lvl w:ilvl="1">
      <w:start w:val="1"/>
      <w:numFmt w:val="decimal"/>
      <w:lvlText w:val="%1.%2."/>
      <w:lvlJc w:val="left"/>
      <w:pPr>
        <w:ind w:left="567" w:hanging="567"/>
      </w:pPr>
      <w:rPr>
        <w:b/>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
    <w:nsid w:val="35151FF0"/>
    <w:multiLevelType w:val="multilevel"/>
    <w:tmpl w:val="CC0C8B9E"/>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val="0"/>
        <w:sz w:val="22"/>
        <w:szCs w:val="22"/>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3DF07312"/>
    <w:multiLevelType w:val="multilevel"/>
    <w:tmpl w:val="9E42E5F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
    <w:nsid w:val="3EC010D7"/>
    <w:multiLevelType w:val="multilevel"/>
    <w:tmpl w:val="9CC241CC"/>
    <w:lvl w:ilvl="0">
      <w:start w:val="1"/>
      <w:numFmt w:val="lowerLetter"/>
      <w:lvlText w:val="%1."/>
      <w:lvlJc w:val="left"/>
      <w:pPr>
        <w:ind w:left="987" w:hanging="420"/>
      </w:pPr>
      <w:rPr>
        <w:b/>
      </w:rPr>
    </w:lvl>
    <w:lvl w:ilvl="1">
      <w:start w:val="1"/>
      <w:numFmt w:val="lowerRoman"/>
      <w:lvlText w:val="%2."/>
      <w:lvlJc w:val="right"/>
      <w:pPr>
        <w:ind w:left="1407" w:hanging="420"/>
      </w:pPr>
      <w:rPr>
        <w:b w:val="0"/>
      </w:rPr>
    </w:lvl>
    <w:lvl w:ilvl="2">
      <w:start w:val="1"/>
      <w:numFmt w:val="lowerRoman"/>
      <w:lvlText w:val="%3."/>
      <w:lvlJc w:val="right"/>
      <w:pPr>
        <w:ind w:left="1827" w:hanging="420"/>
      </w:pPr>
      <w:rPr>
        <w:b w:val="0"/>
      </w:r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7">
    <w:nsid w:val="416D3FFB"/>
    <w:multiLevelType w:val="multilevel"/>
    <w:tmpl w:val="7A94F972"/>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nsid w:val="50244956"/>
    <w:multiLevelType w:val="multilevel"/>
    <w:tmpl w:val="19A2C4CC"/>
    <w:lvl w:ilvl="0">
      <w:start w:val="1"/>
      <w:numFmt w:val="decimal"/>
      <w:lvlText w:val="%1."/>
      <w:lvlJc w:val="left"/>
      <w:pPr>
        <w:ind w:left="360" w:hanging="360"/>
      </w:pPr>
    </w:lvl>
    <w:lvl w:ilvl="1">
      <w:start w:val="1"/>
      <w:numFmt w:val="decimal"/>
      <w:lvlText w:val="%1.%2."/>
      <w:lvlJc w:val="left"/>
      <w:pPr>
        <w:ind w:left="360" w:hanging="360"/>
      </w:pPr>
      <w:rPr>
        <w:b w:val="0"/>
        <w:sz w:val="22"/>
        <w:szCs w:val="22"/>
      </w:rPr>
    </w:lvl>
    <w:lvl w:ilvl="2">
      <w:start w:val="1"/>
      <w:numFmt w:val="decimal"/>
      <w:lvlText w:val="%1.%2.%3."/>
      <w:lvlJc w:val="left"/>
      <w:pPr>
        <w:ind w:left="720" w:hanging="720"/>
      </w:pPr>
      <w:rPr>
        <w:b w:val="0"/>
        <w:i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nsid w:val="53B060C4"/>
    <w:multiLevelType w:val="multilevel"/>
    <w:tmpl w:val="1142980E"/>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0">
    <w:nsid w:val="54BA2ABD"/>
    <w:multiLevelType w:val="multilevel"/>
    <w:tmpl w:val="BA307A68"/>
    <w:lvl w:ilvl="0">
      <w:start w:val="3"/>
      <w:numFmt w:val="decimal"/>
      <w:lvlText w:val="%1"/>
      <w:lvlJc w:val="left"/>
      <w:pPr>
        <w:ind w:left="360" w:hanging="360"/>
      </w:pPr>
      <w:rPr>
        <w:color w:val="00000A"/>
      </w:rPr>
    </w:lvl>
    <w:lvl w:ilvl="1">
      <w:start w:val="1"/>
      <w:numFmt w:val="decimal"/>
      <w:lvlText w:val="%1.%2"/>
      <w:lvlJc w:val="left"/>
      <w:pPr>
        <w:ind w:left="360" w:hanging="360"/>
      </w:pPr>
      <w:rPr>
        <w:color w:val="00000A"/>
      </w:rPr>
    </w:lvl>
    <w:lvl w:ilvl="2">
      <w:start w:val="1"/>
      <w:numFmt w:val="decimal"/>
      <w:lvlText w:val="%1.%2.%3"/>
      <w:lvlJc w:val="left"/>
      <w:pPr>
        <w:ind w:left="720" w:hanging="720"/>
      </w:pPr>
      <w:rPr>
        <w:color w:val="00000A"/>
      </w:rPr>
    </w:lvl>
    <w:lvl w:ilvl="3">
      <w:start w:val="1"/>
      <w:numFmt w:val="decimal"/>
      <w:lvlText w:val="%1.%2.%3.%4"/>
      <w:lvlJc w:val="left"/>
      <w:pPr>
        <w:ind w:left="720" w:hanging="720"/>
      </w:pPr>
      <w:rPr>
        <w:color w:val="00000A"/>
      </w:rPr>
    </w:lvl>
    <w:lvl w:ilvl="4">
      <w:start w:val="1"/>
      <w:numFmt w:val="decimal"/>
      <w:lvlText w:val="%1.%2.%3.%4.%5"/>
      <w:lvlJc w:val="left"/>
      <w:pPr>
        <w:ind w:left="1080" w:hanging="1080"/>
      </w:pPr>
      <w:rPr>
        <w:color w:val="00000A"/>
      </w:rPr>
    </w:lvl>
    <w:lvl w:ilvl="5">
      <w:start w:val="1"/>
      <w:numFmt w:val="decimal"/>
      <w:lvlText w:val="%1.%2.%3.%4.%5.%6"/>
      <w:lvlJc w:val="left"/>
      <w:pPr>
        <w:ind w:left="1080" w:hanging="1080"/>
      </w:pPr>
      <w:rPr>
        <w:color w:val="00000A"/>
      </w:rPr>
    </w:lvl>
    <w:lvl w:ilvl="6">
      <w:start w:val="1"/>
      <w:numFmt w:val="decimal"/>
      <w:lvlText w:val="%1.%2.%3.%4.%5.%6.%7"/>
      <w:lvlJc w:val="left"/>
      <w:pPr>
        <w:ind w:left="1440" w:hanging="1440"/>
      </w:pPr>
      <w:rPr>
        <w:color w:val="00000A"/>
      </w:rPr>
    </w:lvl>
    <w:lvl w:ilvl="7">
      <w:start w:val="1"/>
      <w:numFmt w:val="decimal"/>
      <w:lvlText w:val="%1.%2.%3.%4.%5.%6.%7.%8"/>
      <w:lvlJc w:val="left"/>
      <w:pPr>
        <w:ind w:left="1440" w:hanging="1440"/>
      </w:pPr>
      <w:rPr>
        <w:color w:val="00000A"/>
      </w:rPr>
    </w:lvl>
    <w:lvl w:ilvl="8">
      <w:start w:val="1"/>
      <w:numFmt w:val="decimal"/>
      <w:lvlText w:val="%1.%2.%3.%4.%5.%6.%7.%8.%9"/>
      <w:lvlJc w:val="left"/>
      <w:pPr>
        <w:ind w:left="1440" w:hanging="1440"/>
      </w:pPr>
      <w:rPr>
        <w:color w:val="00000A"/>
      </w:rPr>
    </w:lvl>
  </w:abstractNum>
  <w:abstractNum w:abstractNumId="11">
    <w:nsid w:val="594B6277"/>
    <w:multiLevelType w:val="multilevel"/>
    <w:tmpl w:val="7452E222"/>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2">
    <w:nsid w:val="59CB198B"/>
    <w:multiLevelType w:val="multilevel"/>
    <w:tmpl w:val="192AE850"/>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3">
    <w:nsid w:val="5EE674A3"/>
    <w:multiLevelType w:val="multilevel"/>
    <w:tmpl w:val="D19A7D7E"/>
    <w:lvl w:ilvl="0">
      <w:start w:val="1"/>
      <w:numFmt w:val="bullet"/>
      <w:lvlText w:val="-"/>
      <w:lvlJc w:val="left"/>
      <w:pPr>
        <w:ind w:left="720" w:hanging="360"/>
      </w:pPr>
      <w:rPr>
        <w:rFonts w:ascii="Calibri" w:hAnsi="Calibri" w:cs="Calibr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nsid w:val="64C76A5D"/>
    <w:multiLevelType w:val="multilevel"/>
    <w:tmpl w:val="851617BA"/>
    <w:lvl w:ilvl="0">
      <w:start w:val="1"/>
      <w:numFmt w:val="lowerLetter"/>
      <w:lvlText w:val="%1."/>
      <w:lvlJc w:val="left"/>
      <w:pPr>
        <w:ind w:left="987" w:hanging="420"/>
      </w:pPr>
      <w:rPr>
        <w:b/>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5">
    <w:nsid w:val="74F94225"/>
    <w:multiLevelType w:val="multilevel"/>
    <w:tmpl w:val="77A67C1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6">
    <w:nsid w:val="79492726"/>
    <w:multiLevelType w:val="multilevel"/>
    <w:tmpl w:val="11F8ACDA"/>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7">
    <w:nsid w:val="7CF6401B"/>
    <w:multiLevelType w:val="multilevel"/>
    <w:tmpl w:val="FCF6366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num w:numId="1">
    <w:abstractNumId w:val="4"/>
  </w:num>
  <w:num w:numId="2">
    <w:abstractNumId w:val="8"/>
  </w:num>
  <w:num w:numId="3">
    <w:abstractNumId w:val="13"/>
  </w:num>
  <w:num w:numId="4">
    <w:abstractNumId w:val="10"/>
  </w:num>
  <w:num w:numId="5">
    <w:abstractNumId w:val="5"/>
  </w:num>
  <w:num w:numId="6">
    <w:abstractNumId w:val="2"/>
  </w:num>
  <w:num w:numId="7">
    <w:abstractNumId w:val="7"/>
  </w:num>
  <w:num w:numId="8">
    <w:abstractNumId w:val="1"/>
  </w:num>
  <w:num w:numId="9">
    <w:abstractNumId w:val="3"/>
  </w:num>
  <w:num w:numId="10">
    <w:abstractNumId w:val="6"/>
  </w:num>
  <w:num w:numId="11">
    <w:abstractNumId w:val="9"/>
  </w:num>
  <w:num w:numId="12">
    <w:abstractNumId w:val="16"/>
  </w:num>
  <w:num w:numId="13">
    <w:abstractNumId w:val="14"/>
  </w:num>
  <w:num w:numId="14">
    <w:abstractNumId w:val="11"/>
  </w:num>
  <w:num w:numId="15">
    <w:abstractNumId w:val="15"/>
  </w:num>
  <w:num w:numId="16">
    <w:abstractNumId w:val="0"/>
  </w:num>
  <w:num w:numId="17">
    <w:abstractNumId w:val="17"/>
  </w:num>
  <w:num w:numId="18">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3A3"/>
    <w:rsid w:val="00646938"/>
    <w:rsid w:val="009253A3"/>
    <w:rsid w:val="009B7E75"/>
    <w:rsid w:val="00A84CA1"/>
    <w:rsid w:val="00AB7CBE"/>
    <w:rsid w:val="00C02EAE"/>
    <w:rsid w:val="00EA2B8F"/>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DE225"/>
  <w15:docId w15:val="{925750CB-8F53-478E-BC44-C2454ABF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color w:val="00000A"/>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semiHidden/>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b w:val="0"/>
      <w:sz w:val="22"/>
      <w:szCs w:val="22"/>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Times New Roman"/>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eastAsia="Calibri" w:cs="Times New Roman"/>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Calibri" w:cs="Calibri"/>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Calibri" w:cs="Calibri"/>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eastAsia="Calibri" w:cs="Calibri"/>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eastAsia="Calibri" w:cs="Calibri"/>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Calibri" w:cs="Calibri"/>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eastAsia="Calibri"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eastAsia="Calibri"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eastAsia="Calibri" w:cs="Calibri"/>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eastAsia="Calibri" w:cs="Calibri"/>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eastAsia="Calibri" w:cs="Calibri"/>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sz w:val="22"/>
    </w:rPr>
  </w:style>
  <w:style w:type="character" w:customStyle="1" w:styleId="ListLabel84">
    <w:name w:val="ListLabel 84"/>
    <w:qFormat/>
    <w:rPr>
      <w:b w:val="0"/>
      <w:color w:val="00000A"/>
    </w:rPr>
  </w:style>
  <w:style w:type="character" w:customStyle="1" w:styleId="ListLabel85">
    <w:name w:val="ListLabel 85"/>
    <w:qFormat/>
    <w:rPr>
      <w:b w:val="0"/>
      <w:i w:val="0"/>
    </w:rPr>
  </w:style>
  <w:style w:type="character" w:customStyle="1" w:styleId="ListLabel86">
    <w:name w:val="ListLabel 86"/>
    <w:qFormat/>
    <w:rPr>
      <w:rFonts w:cs="Calibri"/>
      <w:b/>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sz w:val="22"/>
    </w:rPr>
  </w:style>
  <w:style w:type="character" w:customStyle="1" w:styleId="ListLabel91">
    <w:name w:val="ListLabel 91"/>
    <w:qFormat/>
    <w:rPr>
      <w:b w:val="0"/>
    </w:rPr>
  </w:style>
  <w:style w:type="character" w:customStyle="1" w:styleId="ListLabel92">
    <w:name w:val="ListLabel 92"/>
    <w:qFormat/>
    <w:rPr>
      <w:b w:val="0"/>
      <w:i w:val="0"/>
    </w:rPr>
  </w:style>
  <w:style w:type="character" w:customStyle="1" w:styleId="ListLabel93">
    <w:name w:val="ListLabel 93"/>
    <w:qFormat/>
    <w:rPr>
      <w:color w:val="00000A"/>
    </w:rPr>
  </w:style>
  <w:style w:type="character" w:customStyle="1" w:styleId="ListLabel94">
    <w:name w:val="ListLabel 94"/>
    <w:qFormat/>
    <w:rPr>
      <w:color w:val="00000A"/>
    </w:rPr>
  </w:style>
  <w:style w:type="character" w:customStyle="1" w:styleId="ListLabel95">
    <w:name w:val="ListLabel 95"/>
    <w:qFormat/>
    <w:rPr>
      <w:color w:val="00000A"/>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b w:val="0"/>
      <w:i w:val="0"/>
    </w:rPr>
  </w:style>
  <w:style w:type="character" w:customStyle="1" w:styleId="ListLabel103">
    <w:name w:val="ListLabel 103"/>
    <w:qFormat/>
    <w:rPr>
      <w:b w:val="0"/>
      <w:i w:val="0"/>
    </w:rPr>
  </w:style>
  <w:style w:type="character" w:customStyle="1" w:styleId="ListLabel104">
    <w:name w:val="ListLabel 104"/>
    <w:qFormat/>
    <w:rPr>
      <w:b w:val="0"/>
      <w:i w:val="0"/>
    </w:rPr>
  </w:style>
  <w:style w:type="character" w:customStyle="1" w:styleId="ListLabel105">
    <w:name w:val="ListLabel 105"/>
    <w:qFormat/>
    <w:rPr>
      <w:b w:val="0"/>
      <w:i w:val="0"/>
    </w:rPr>
  </w:style>
  <w:style w:type="character" w:customStyle="1" w:styleId="ListLabel106">
    <w:name w:val="ListLabel 106"/>
    <w:qFormat/>
    <w:rPr>
      <w:b w:val="0"/>
      <w:i w:val="0"/>
    </w:rPr>
  </w:style>
  <w:style w:type="character" w:customStyle="1" w:styleId="ListLabel107">
    <w:name w:val="ListLabel 107"/>
    <w:qFormat/>
    <w:rPr>
      <w:b w:val="0"/>
      <w:i w:val="0"/>
    </w:rPr>
  </w:style>
  <w:style w:type="character" w:customStyle="1" w:styleId="ListLabel108">
    <w:name w:val="ListLabel 108"/>
    <w:qFormat/>
    <w:rPr>
      <w:b w:val="0"/>
      <w:i w:val="0"/>
    </w:rPr>
  </w:style>
  <w:style w:type="character" w:customStyle="1" w:styleId="ListLabel109">
    <w:name w:val="ListLabel 109"/>
    <w:qFormat/>
    <w:rPr>
      <w:b w:val="0"/>
      <w:i w:val="0"/>
    </w:rPr>
  </w:style>
  <w:style w:type="character" w:customStyle="1" w:styleId="ListLabel110">
    <w:name w:val="ListLabel 110"/>
    <w:qFormat/>
    <w:rPr>
      <w:b w:val="0"/>
      <w:i w:val="0"/>
    </w:rPr>
  </w:style>
  <w:style w:type="character" w:customStyle="1" w:styleId="ListLabel111">
    <w:name w:val="ListLabel 111"/>
    <w:qFormat/>
    <w:rPr>
      <w:b/>
      <w:i w:val="0"/>
    </w:rPr>
  </w:style>
  <w:style w:type="character" w:customStyle="1" w:styleId="ListLabel112">
    <w:name w:val="ListLabel 112"/>
    <w:qFormat/>
    <w:rPr>
      <w:b/>
    </w:rPr>
  </w:style>
  <w:style w:type="character" w:customStyle="1" w:styleId="ListLabel113">
    <w:name w:val="ListLabel 113"/>
    <w:qFormat/>
    <w:rPr>
      <w:b/>
    </w:rPr>
  </w:style>
  <w:style w:type="character" w:customStyle="1" w:styleId="ListLabel114">
    <w:name w:val="ListLabel 114"/>
    <w:qFormat/>
    <w:rPr>
      <w:b w:val="0"/>
    </w:rPr>
  </w:style>
  <w:style w:type="character" w:customStyle="1" w:styleId="ListLabel115">
    <w:name w:val="ListLabel 115"/>
    <w:qFormat/>
    <w:rPr>
      <w:b w:val="0"/>
    </w:rPr>
  </w:style>
  <w:style w:type="character" w:customStyle="1" w:styleId="ListLabel116">
    <w:name w:val="ListLabel 116"/>
    <w:qFormat/>
    <w:rPr>
      <w:b w:val="0"/>
    </w:rPr>
  </w:style>
  <w:style w:type="character" w:customStyle="1" w:styleId="ListLabel117">
    <w:name w:val="ListLabel 117"/>
    <w:qFormat/>
    <w:rPr>
      <w:b w:val="0"/>
    </w:rPr>
  </w:style>
  <w:style w:type="character" w:customStyle="1" w:styleId="ListLabel118">
    <w:name w:val="ListLabel 118"/>
    <w:qFormat/>
    <w:rPr>
      <w:b/>
    </w:rPr>
  </w:style>
  <w:style w:type="character" w:customStyle="1" w:styleId="ListLabel119">
    <w:name w:val="ListLabel 119"/>
    <w:qFormat/>
    <w:rPr>
      <w:b w:val="0"/>
    </w:rPr>
  </w:style>
  <w:style w:type="character" w:customStyle="1" w:styleId="ListLabel120">
    <w:name w:val="ListLabel 120"/>
    <w:qFormat/>
    <w:rPr>
      <w:b w:val="0"/>
    </w:rPr>
  </w:style>
  <w:style w:type="character" w:customStyle="1" w:styleId="ListLabel121">
    <w:name w:val="ListLabel 121"/>
    <w:qFormat/>
    <w:rPr>
      <w:b w:val="0"/>
    </w:rPr>
  </w:style>
  <w:style w:type="character" w:customStyle="1" w:styleId="ListLabel122">
    <w:name w:val="ListLabel 122"/>
    <w:qFormat/>
    <w:rPr>
      <w:b w:val="0"/>
    </w:rPr>
  </w:style>
  <w:style w:type="character" w:customStyle="1" w:styleId="ListLabel123">
    <w:name w:val="ListLabel 123"/>
    <w:qFormat/>
    <w:rPr>
      <w:b w:val="0"/>
    </w:rPr>
  </w:style>
  <w:style w:type="character" w:customStyle="1" w:styleId="ListLabel124">
    <w:name w:val="ListLabel 124"/>
    <w:qFormat/>
    <w:rPr>
      <w:b w:val="0"/>
      <w:sz w:val="22"/>
      <w:szCs w:val="22"/>
    </w:rPr>
  </w:style>
  <w:style w:type="character" w:customStyle="1" w:styleId="ListLabel125">
    <w:name w:val="ListLabel 125"/>
    <w:qFormat/>
    <w:rPr>
      <w:b w:val="0"/>
      <w:sz w:val="22"/>
      <w:szCs w:val="22"/>
    </w:rPr>
  </w:style>
  <w:style w:type="character" w:customStyle="1" w:styleId="ListLabel126">
    <w:name w:val="ListLabel 126"/>
    <w:qFormat/>
    <w:rPr>
      <w:rFonts w:cs="Calibri"/>
      <w:b/>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color w:val="00000A"/>
    </w:rPr>
  </w:style>
  <w:style w:type="character" w:customStyle="1" w:styleId="ListLabel136">
    <w:name w:val="ListLabel 136"/>
    <w:qFormat/>
    <w:rPr>
      <w:color w:val="00000A"/>
    </w:rPr>
  </w:style>
  <w:style w:type="character" w:customStyle="1" w:styleId="ListLabel137">
    <w:name w:val="ListLabel 137"/>
    <w:qFormat/>
    <w:rPr>
      <w:color w:val="00000A"/>
    </w:rPr>
  </w:style>
  <w:style w:type="character" w:customStyle="1" w:styleId="ListLabel138">
    <w:name w:val="ListLabel 138"/>
    <w:qFormat/>
    <w:rPr>
      <w:color w:val="00000A"/>
    </w:rPr>
  </w:style>
  <w:style w:type="character" w:customStyle="1" w:styleId="ListLabel139">
    <w:name w:val="ListLabel 139"/>
    <w:qFormat/>
    <w:rPr>
      <w:color w:val="00000A"/>
    </w:rPr>
  </w:style>
  <w:style w:type="character" w:customStyle="1" w:styleId="ListLabel140">
    <w:name w:val="ListLabel 140"/>
    <w:qFormat/>
    <w:rPr>
      <w:color w:val="00000A"/>
    </w:rPr>
  </w:style>
  <w:style w:type="character" w:customStyle="1" w:styleId="ListLabel141">
    <w:name w:val="ListLabel 141"/>
    <w:qFormat/>
    <w:rPr>
      <w:color w:val="00000A"/>
    </w:rPr>
  </w:style>
  <w:style w:type="character" w:customStyle="1" w:styleId="ListLabel142">
    <w:name w:val="ListLabel 142"/>
    <w:qFormat/>
    <w:rPr>
      <w:color w:val="00000A"/>
    </w:rPr>
  </w:style>
  <w:style w:type="character" w:customStyle="1" w:styleId="ListLabel143">
    <w:name w:val="ListLabel 143"/>
    <w:qFormat/>
    <w:rPr>
      <w:color w:val="00000A"/>
    </w:rPr>
  </w:style>
  <w:style w:type="character" w:customStyle="1" w:styleId="ListLabel144">
    <w:name w:val="ListLabel 144"/>
    <w:qFormat/>
    <w:rPr>
      <w:b w:val="0"/>
      <w:i w:val="0"/>
    </w:rPr>
  </w:style>
  <w:style w:type="character" w:customStyle="1" w:styleId="ListLabel145">
    <w:name w:val="ListLabel 145"/>
    <w:qFormat/>
    <w:rPr>
      <w:b w:val="0"/>
      <w:i w:val="0"/>
    </w:rPr>
  </w:style>
  <w:style w:type="character" w:customStyle="1" w:styleId="ListLabel146">
    <w:name w:val="ListLabel 146"/>
    <w:qFormat/>
    <w:rPr>
      <w:b w:val="0"/>
      <w:i w:val="0"/>
    </w:rPr>
  </w:style>
  <w:style w:type="character" w:customStyle="1" w:styleId="ListLabel147">
    <w:name w:val="ListLabel 147"/>
    <w:qFormat/>
    <w:rPr>
      <w:b w:val="0"/>
      <w:i w:val="0"/>
    </w:rPr>
  </w:style>
  <w:style w:type="character" w:customStyle="1" w:styleId="ListLabel148">
    <w:name w:val="ListLabel 148"/>
    <w:qFormat/>
    <w:rPr>
      <w:b w:val="0"/>
      <w:i w:val="0"/>
    </w:rPr>
  </w:style>
  <w:style w:type="character" w:customStyle="1" w:styleId="ListLabel149">
    <w:name w:val="ListLabel 149"/>
    <w:qFormat/>
    <w:rPr>
      <w:b w:val="0"/>
      <w:i w:val="0"/>
    </w:rPr>
  </w:style>
  <w:style w:type="character" w:customStyle="1" w:styleId="ListLabel150">
    <w:name w:val="ListLabel 150"/>
    <w:qFormat/>
    <w:rPr>
      <w:b w:val="0"/>
      <w:i w:val="0"/>
    </w:rPr>
  </w:style>
  <w:style w:type="character" w:customStyle="1" w:styleId="ListLabel151">
    <w:name w:val="ListLabel 151"/>
    <w:qFormat/>
    <w:rPr>
      <w:b w:val="0"/>
      <w:i w:val="0"/>
    </w:rPr>
  </w:style>
  <w:style w:type="character" w:customStyle="1" w:styleId="ListLabel152">
    <w:name w:val="ListLabel 152"/>
    <w:qFormat/>
    <w:rPr>
      <w:b w:val="0"/>
      <w:i w:val="0"/>
    </w:rPr>
  </w:style>
  <w:style w:type="character" w:customStyle="1" w:styleId="ListLabel153">
    <w:name w:val="ListLabel 153"/>
    <w:qFormat/>
    <w:rPr>
      <w:b/>
    </w:rPr>
  </w:style>
  <w:style w:type="character" w:customStyle="1" w:styleId="ListLabel154">
    <w:name w:val="ListLabel 154"/>
    <w:qFormat/>
    <w:rPr>
      <w:b/>
    </w:rPr>
  </w:style>
  <w:style w:type="character" w:customStyle="1" w:styleId="ListLabel155">
    <w:name w:val="ListLabel 155"/>
    <w:qFormat/>
    <w:rPr>
      <w:b w:val="0"/>
    </w:rPr>
  </w:style>
  <w:style w:type="character" w:customStyle="1" w:styleId="ListLabel156">
    <w:name w:val="ListLabel 156"/>
    <w:qFormat/>
    <w:rPr>
      <w:b w:val="0"/>
    </w:rPr>
  </w:style>
  <w:style w:type="character" w:customStyle="1" w:styleId="ListLabel157">
    <w:name w:val="ListLabel 157"/>
    <w:qFormat/>
    <w:rPr>
      <w:b w:val="0"/>
    </w:rPr>
  </w:style>
  <w:style w:type="character" w:customStyle="1" w:styleId="ListLabel158">
    <w:name w:val="ListLabel 158"/>
    <w:qFormat/>
    <w:rPr>
      <w:b w:val="0"/>
    </w:rPr>
  </w:style>
  <w:style w:type="character" w:customStyle="1" w:styleId="ListLabel159">
    <w:name w:val="ListLabel 159"/>
    <w:qFormat/>
    <w:rPr>
      <w:b/>
    </w:rPr>
  </w:style>
  <w:style w:type="character" w:customStyle="1" w:styleId="ListLabel160">
    <w:name w:val="ListLabel 160"/>
    <w:qFormat/>
    <w:rPr>
      <w:b w:val="0"/>
    </w:rPr>
  </w:style>
  <w:style w:type="character" w:customStyle="1" w:styleId="ListLabel161">
    <w:name w:val="ListLabel 161"/>
    <w:qFormat/>
    <w:rPr>
      <w:b w:val="0"/>
    </w:rPr>
  </w:style>
  <w:style w:type="character" w:customStyle="1" w:styleId="ListLabel162">
    <w:name w:val="ListLabel 162"/>
    <w:qFormat/>
    <w:rPr>
      <w:b w:val="0"/>
    </w:rPr>
  </w:style>
  <w:style w:type="character" w:customStyle="1" w:styleId="ListLabel163">
    <w:name w:val="ListLabel 163"/>
    <w:qFormat/>
    <w:rPr>
      <w:b w:val="0"/>
    </w:rPr>
  </w:style>
  <w:style w:type="character" w:customStyle="1" w:styleId="ListLabel164">
    <w:name w:val="ListLabel 164"/>
    <w:qFormat/>
    <w:rPr>
      <w:b w:val="0"/>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semiHidden/>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color w:val="00000A"/>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C02E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ocumentation/supplier-data-processing-agreement/"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11B5E-D294-4ACA-B941-AA4636DAC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Pages>
  <Words>410</Words>
  <Characters>2338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[title of your document]</vt:lpstr>
    </vt:vector>
  </TitlesOfParts>
  <Company>Advisera Expert Solutions Ltd</Company>
  <LinksUpToDate>false</LinksUpToDate>
  <CharactersWithSpaces>2743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Supplier Data Processing Agreement</dc:title>
  <dc:subject/>
  <dc:creator>EUGDPRAcademy</dc:creator>
  <dc:description>©2017 This template may be used by clients of Advisera Expert Solutions Ltd. in accordance with the License Agreement.</dc:description>
  <cp:lastModifiedBy>EUGDPRAcademy</cp:lastModifiedBy>
  <cp:revision>27</cp:revision>
  <dcterms:created xsi:type="dcterms:W3CDTF">2017-10-09T05:17:00Z</dcterms:created>
  <dcterms:modified xsi:type="dcterms:W3CDTF">2017-10-24T20:47:00Z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