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6E3BC" w14:textId="11EFBBCB" w:rsidR="00BC51F6" w:rsidRPr="00BC51F6" w:rsidRDefault="00BC51F6" w:rsidP="00BC51F6">
      <w:pPr>
        <w:jc w:val="center"/>
        <w:rPr>
          <w:rFonts w:asciiTheme="minorHAnsi" w:hAnsiTheme="minorHAnsi"/>
          <w:b/>
          <w:sz w:val="32"/>
          <w:szCs w:val="32"/>
        </w:rPr>
      </w:pPr>
      <w:commentRangeStart w:id="0"/>
      <w:r>
        <w:rPr>
          <w:rFonts w:asciiTheme="minorHAnsi" w:hAnsiTheme="minorHAnsi"/>
          <w:b/>
          <w:sz w:val="32"/>
          <w:szCs w:val="32"/>
        </w:rPr>
        <w:t xml:space="preserve">SUPPLIER </w:t>
      </w:r>
      <w:r w:rsidRPr="00BC51F6">
        <w:rPr>
          <w:rFonts w:asciiTheme="minorHAnsi" w:hAnsiTheme="minorHAnsi"/>
          <w:b/>
          <w:sz w:val="32"/>
          <w:szCs w:val="32"/>
        </w:rPr>
        <w:t>DATA PROCESSING AGREEMENT</w:t>
      </w:r>
      <w:commentRangeEnd w:id="0"/>
      <w:r>
        <w:rPr>
          <w:rStyle w:val="CommentReference"/>
        </w:rPr>
        <w:commentReference w:id="0"/>
      </w:r>
    </w:p>
    <w:p w14:paraId="0F9B836F" w14:textId="6CCC9046" w:rsidR="00BC51F6" w:rsidRPr="00BC51F6" w:rsidRDefault="00584D93" w:rsidP="00584D93">
      <w:pPr>
        <w:spacing w:line="240" w:lineRule="auto"/>
        <w:jc w:val="center"/>
        <w:rPr>
          <w:rFonts w:asciiTheme="minorHAnsi" w:hAnsiTheme="minorHAnsi"/>
        </w:rPr>
      </w:pPr>
      <w:r w:rsidRPr="00855280">
        <w:t>** FREE PREVIEW VERSION **</w:t>
      </w:r>
    </w:p>
    <w:p w14:paraId="5C0DEE86" w14:textId="77777777" w:rsidR="00BC51F6" w:rsidRPr="00BC51F6" w:rsidRDefault="00BC51F6" w:rsidP="00BC51F6">
      <w:pPr>
        <w:spacing w:line="240" w:lineRule="auto"/>
        <w:rPr>
          <w:rFonts w:asciiTheme="minorHAnsi" w:hAnsiTheme="minorHAnsi"/>
        </w:rPr>
      </w:pPr>
    </w:p>
    <w:p w14:paraId="1D84632C" w14:textId="77777777" w:rsidR="00BC51F6" w:rsidRPr="00BC51F6" w:rsidRDefault="00BC51F6" w:rsidP="00BC51F6">
      <w:pPr>
        <w:spacing w:line="240" w:lineRule="auto"/>
        <w:rPr>
          <w:rFonts w:asciiTheme="minorHAnsi" w:eastAsia="STZhongsong" w:hAnsiTheme="minorHAnsi"/>
          <w:lang w:eastAsia="zh-CN"/>
        </w:rPr>
      </w:pPr>
      <w:r w:rsidRPr="00BC51F6">
        <w:rPr>
          <w:rFonts w:asciiTheme="minorHAnsi" w:eastAsia="STZhongsong" w:hAnsiTheme="minorHAnsi"/>
          <w:lang w:eastAsia="zh-CN"/>
        </w:rPr>
        <w:t xml:space="preserve">This Data Processing Addendum ("Addendum") dated _______________ ("Addendum Effective Date") is made between [Company Name] ("Data Processor", “Processor”), and [Customer Name] ("Customer", “Controller”). </w:t>
      </w:r>
    </w:p>
    <w:p w14:paraId="18453845" w14:textId="2390340C" w:rsidR="00BC51F6" w:rsidRPr="00BC51F6" w:rsidRDefault="00BC51F6" w:rsidP="00584D93">
      <w:pPr>
        <w:spacing w:line="240" w:lineRule="auto"/>
        <w:rPr>
          <w:rFonts w:asciiTheme="minorHAnsi" w:eastAsia="STZhongsong" w:hAnsiTheme="minorHAnsi"/>
          <w:lang w:eastAsia="zh-CN"/>
        </w:rPr>
      </w:pPr>
      <w:r w:rsidRPr="00BC51F6">
        <w:rPr>
          <w:rFonts w:asciiTheme="minorHAnsi" w:eastAsia="STZhongsong" w:hAnsiTheme="minorHAnsi"/>
          <w:lang w:eastAsia="zh-CN"/>
        </w:rPr>
        <w:t xml:space="preserve">The terms used in this Addendum shall have the meanings set forth in this Addendum. Capitalised terms not otherwise defined herein shall have </w:t>
      </w:r>
      <w:r w:rsidR="00584D93">
        <w:rPr>
          <w:rFonts w:asciiTheme="minorHAnsi" w:eastAsia="STZhongsong" w:hAnsiTheme="minorHAnsi"/>
          <w:lang w:eastAsia="zh-CN"/>
        </w:rPr>
        <w:t>…</w:t>
      </w:r>
    </w:p>
    <w:p w14:paraId="328C76A0" w14:textId="77777777" w:rsidR="00BC51F6" w:rsidRPr="00BC51F6" w:rsidRDefault="00BC51F6" w:rsidP="00BC51F6">
      <w:pPr>
        <w:spacing w:line="240" w:lineRule="auto"/>
        <w:rPr>
          <w:rFonts w:asciiTheme="minorHAnsi" w:hAnsiTheme="minorHAnsi"/>
        </w:rPr>
      </w:pPr>
    </w:p>
    <w:p w14:paraId="51AF9D82" w14:textId="77777777" w:rsidR="00BC51F6" w:rsidRPr="00F35A2B" w:rsidRDefault="00BC51F6" w:rsidP="00F35A2B">
      <w:pPr>
        <w:pStyle w:val="Heading"/>
      </w:pPr>
      <w:r w:rsidRPr="00F35A2B">
        <w:t>Definitions</w:t>
      </w:r>
    </w:p>
    <w:p w14:paraId="57CF94C5" w14:textId="4EB133D4" w:rsidR="00F35A2B" w:rsidRPr="00646938" w:rsidRDefault="00BC51F6" w:rsidP="00584D93">
      <w:pPr>
        <w:pStyle w:val="MarginText"/>
      </w:pPr>
      <w:r w:rsidRPr="00BC51F6">
        <w:rPr>
          <w:rFonts w:asciiTheme="minorHAnsi" w:hAnsiTheme="minorHAnsi"/>
          <w:b/>
          <w:szCs w:val="22"/>
        </w:rPr>
        <w:t>"Data Controller", "Data Processor", "Data Subject", "Personal Data", "Personal Data Breach", "Process/Processed/Processing", "Special Categories of Personal Data"</w:t>
      </w:r>
      <w:r w:rsidRPr="00BC51F6">
        <w:rPr>
          <w:rFonts w:asciiTheme="minorHAnsi" w:hAnsiTheme="minorHAnsi"/>
          <w:szCs w:val="22"/>
        </w:rPr>
        <w:t xml:space="preserve"> and </w:t>
      </w:r>
      <w:r w:rsidRPr="00F35A2B">
        <w:rPr>
          <w:rFonts w:asciiTheme="minorHAnsi" w:hAnsiTheme="minorHAnsi"/>
          <w:b/>
          <w:szCs w:val="22"/>
        </w:rPr>
        <w:t>"Supervisory Authority"</w:t>
      </w:r>
      <w:r>
        <w:rPr>
          <w:rFonts w:asciiTheme="minorHAnsi" w:hAnsiTheme="minorHAnsi"/>
          <w:szCs w:val="22"/>
        </w:rPr>
        <w:t xml:space="preserve"> </w:t>
      </w:r>
      <w:r w:rsidRPr="00BC51F6">
        <w:rPr>
          <w:rFonts w:asciiTheme="minorHAnsi" w:hAnsiTheme="minorHAnsi"/>
          <w:szCs w:val="22"/>
        </w:rPr>
        <w:t xml:space="preserve">and any further definition not included under this Agreement or the Principal Agreement shall have the same meaning as </w:t>
      </w:r>
      <w:r w:rsidR="00584D93">
        <w:rPr>
          <w:rFonts w:asciiTheme="minorHAnsi" w:hAnsiTheme="minorHAnsi"/>
          <w:szCs w:val="22"/>
        </w:rPr>
        <w:t>…</w:t>
      </w:r>
    </w:p>
    <w:p w14:paraId="6FD82611" w14:textId="3C9F6B6A" w:rsidR="00BC51F6" w:rsidRPr="00BC51F6" w:rsidRDefault="00BC51F6" w:rsidP="00BC51F6">
      <w:pPr>
        <w:pStyle w:val="MarginText"/>
        <w:rPr>
          <w:rFonts w:asciiTheme="minorHAnsi" w:hAnsiTheme="minorHAnsi"/>
          <w:szCs w:val="22"/>
        </w:rPr>
      </w:pPr>
    </w:p>
    <w:p w14:paraId="6ECBEEF0" w14:textId="77777777" w:rsidR="00BC51F6" w:rsidRPr="00BC51F6" w:rsidRDefault="00BC51F6" w:rsidP="00F35A2B">
      <w:pPr>
        <w:pStyle w:val="Heading"/>
      </w:pPr>
      <w:r w:rsidRPr="00BC51F6">
        <w:t>Processing Terms</w:t>
      </w:r>
    </w:p>
    <w:p w14:paraId="17326395" w14:textId="36C2D94E" w:rsidR="00BC51F6" w:rsidRPr="0079242A" w:rsidRDefault="00BC51F6" w:rsidP="0079242A">
      <w:pPr>
        <w:pStyle w:val="Heading1"/>
        <w:numPr>
          <w:ilvl w:val="1"/>
          <w:numId w:val="21"/>
        </w:numPr>
        <w:adjustRightInd w:val="0"/>
        <w:spacing w:after="240" w:line="240" w:lineRule="auto"/>
        <w:jc w:val="both"/>
        <w:rPr>
          <w:rFonts w:asciiTheme="minorHAnsi" w:eastAsia="Arial Unicode MS" w:hAnsiTheme="minorHAnsi"/>
          <w:b w:val="0"/>
          <w:sz w:val="22"/>
          <w:szCs w:val="22"/>
        </w:rPr>
      </w:pPr>
      <w:r w:rsidRPr="00BC51F6">
        <w:rPr>
          <w:rFonts w:asciiTheme="minorHAnsi" w:hAnsiTheme="minorHAnsi"/>
          <w:b w:val="0"/>
          <w:sz w:val="22"/>
          <w:szCs w:val="22"/>
          <w:lang w:bidi="kok-IN"/>
        </w:rPr>
        <w:t xml:space="preserve">This clause sets out the details required by article 28(3) GDPR as at the date of this Agreement.  The subject matter and duration of the Processing, the nature and purpose of the Processing, the type of Personal Data and categories of Data Subject as required by Article 28(3) of the GDPR or </w:t>
      </w:r>
      <w:r w:rsidR="00584D93">
        <w:rPr>
          <w:rFonts w:asciiTheme="minorHAnsi" w:hAnsiTheme="minorHAnsi"/>
          <w:b w:val="0"/>
          <w:sz w:val="22"/>
          <w:szCs w:val="22"/>
          <w:lang w:bidi="kok-IN"/>
        </w:rPr>
        <w:t>…</w:t>
      </w:r>
      <w:r w:rsidRPr="00BC51F6">
        <w:rPr>
          <w:rFonts w:asciiTheme="minorHAnsi" w:hAnsiTheme="minorHAnsi"/>
          <w:b w:val="0"/>
          <w:sz w:val="22"/>
          <w:szCs w:val="22"/>
          <w:lang w:bidi="kok-IN"/>
        </w:rPr>
        <w:t> </w:t>
      </w:r>
    </w:p>
    <w:p w14:paraId="0322F8B0" w14:textId="1D178BC3" w:rsidR="00BC51F6" w:rsidRPr="00BC51F6" w:rsidRDefault="00BC51F6" w:rsidP="0079242A">
      <w:pPr>
        <w:pStyle w:val="Heading"/>
      </w:pPr>
      <w:bookmarkStart w:id="1" w:name="_Ref471499735"/>
      <w:bookmarkStart w:id="2" w:name="_Toc491808447"/>
      <w:bookmarkEnd w:id="1"/>
      <w:bookmarkEnd w:id="2"/>
      <w:r w:rsidRPr="00BC51F6">
        <w:t>Processing of Controller Personal Data</w:t>
      </w:r>
    </w:p>
    <w:p w14:paraId="6FAB3C32" w14:textId="79DA54D4" w:rsidR="00BC51F6" w:rsidRPr="00BC51F6" w:rsidRDefault="00BC51F6" w:rsidP="0079242A">
      <w:pPr>
        <w:pStyle w:val="Heading1"/>
        <w:numPr>
          <w:ilvl w:val="1"/>
          <w:numId w:val="21"/>
        </w:numPr>
        <w:adjustRightInd w:val="0"/>
        <w:spacing w:after="240" w:line="240" w:lineRule="auto"/>
        <w:jc w:val="both"/>
        <w:rPr>
          <w:rFonts w:asciiTheme="minorHAnsi" w:hAnsiTheme="minorHAnsi"/>
          <w:b w:val="0"/>
          <w:sz w:val="22"/>
          <w:szCs w:val="22"/>
          <w:lang w:bidi="kok-IN"/>
        </w:rPr>
      </w:pPr>
      <w:r w:rsidRPr="00BC51F6">
        <w:rPr>
          <w:rFonts w:asciiTheme="minorHAnsi" w:hAnsiTheme="minorHAnsi"/>
          <w:b w:val="0"/>
          <w:sz w:val="22"/>
          <w:szCs w:val="22"/>
          <w:lang w:bidi="kok-IN"/>
        </w:rPr>
        <w:t xml:space="preserve">When acting as a </w:t>
      </w:r>
      <w:bookmarkStart w:id="3" w:name="_Hlk531857231"/>
      <w:r w:rsidRPr="00BC51F6">
        <w:rPr>
          <w:rFonts w:asciiTheme="minorHAnsi" w:hAnsiTheme="minorHAnsi"/>
          <w:b w:val="0"/>
          <w:sz w:val="22"/>
          <w:szCs w:val="22"/>
          <w:lang w:bidi="kok-IN"/>
        </w:rPr>
        <w:t xml:space="preserve">Data Processor </w:t>
      </w:r>
      <w:bookmarkEnd w:id="3"/>
      <w:r w:rsidRPr="00BC51F6">
        <w:rPr>
          <w:rFonts w:asciiTheme="minorHAnsi" w:hAnsiTheme="minorHAnsi"/>
          <w:b w:val="0"/>
          <w:sz w:val="22"/>
          <w:szCs w:val="22"/>
          <w:lang w:bidi="kok-IN"/>
        </w:rPr>
        <w:t>in relation to Personal Data provided by the Customer acting as a Data Controller, [Company Name] shall:</w:t>
      </w:r>
    </w:p>
    <w:p w14:paraId="55B13A81" w14:textId="38EE01A7" w:rsidR="009253A3" w:rsidRDefault="00BC51F6" w:rsidP="00584D93">
      <w:pPr>
        <w:pStyle w:val="Heading2"/>
        <w:numPr>
          <w:ilvl w:val="2"/>
          <w:numId w:val="21"/>
        </w:numPr>
        <w:adjustRightInd w:val="0"/>
        <w:spacing w:after="240" w:line="240" w:lineRule="auto"/>
        <w:jc w:val="both"/>
        <w:rPr>
          <w:rFonts w:asciiTheme="minorHAnsi" w:hAnsiTheme="minorHAnsi"/>
          <w:b w:val="0"/>
          <w:sz w:val="22"/>
          <w:szCs w:val="22"/>
        </w:rPr>
      </w:pPr>
      <w:r w:rsidRPr="00BC51F6">
        <w:rPr>
          <w:rFonts w:asciiTheme="minorHAnsi" w:hAnsiTheme="minorHAnsi"/>
          <w:b w:val="0"/>
          <w:sz w:val="22"/>
          <w:szCs w:val="22"/>
        </w:rPr>
        <w:t xml:space="preserve">not Process the Personal Data or disclose Personal Data other than in accordance with the Customer's documented </w:t>
      </w:r>
      <w:r w:rsidR="00584D93">
        <w:rPr>
          <w:rFonts w:asciiTheme="minorHAnsi" w:hAnsiTheme="minorHAnsi"/>
          <w:b w:val="0"/>
          <w:sz w:val="22"/>
          <w:szCs w:val="22"/>
        </w:rPr>
        <w:t>…</w:t>
      </w:r>
    </w:p>
    <w:p w14:paraId="1DC22DB3" w14:textId="77777777" w:rsidR="00584D93" w:rsidRDefault="00584D93" w:rsidP="00584D93"/>
    <w:p w14:paraId="04B3C080" w14:textId="77777777" w:rsidR="00584D93" w:rsidRDefault="00584D93" w:rsidP="00584D93"/>
    <w:p w14:paraId="5A4A5237" w14:textId="77777777" w:rsidR="00584D93" w:rsidRPr="00584D93" w:rsidRDefault="00584D93" w:rsidP="00584D93">
      <w:pPr>
        <w:jc w:val="center"/>
        <w:rPr>
          <w:rFonts w:eastAsia="Times New Roman"/>
          <w:color w:val="auto"/>
          <w:lang w:val="en-US"/>
        </w:rPr>
      </w:pPr>
      <w:r w:rsidRPr="00584D93">
        <w:rPr>
          <w:rFonts w:eastAsia="Times New Roman"/>
          <w:color w:val="auto"/>
          <w:lang w:val="en-US"/>
        </w:rPr>
        <w:t>** END OF FREE PREVIEW **</w:t>
      </w:r>
    </w:p>
    <w:p w14:paraId="3D5FF130" w14:textId="4BFC8E90" w:rsidR="00584D93" w:rsidRPr="00584D93" w:rsidRDefault="00584D93" w:rsidP="00584D93">
      <w:pPr>
        <w:jc w:val="center"/>
      </w:pPr>
      <w:r w:rsidRPr="00584D93">
        <w:rPr>
          <w:rFonts w:eastAsia="Times New Roman"/>
          <w:color w:val="auto"/>
          <w:lang w:val="en-US"/>
        </w:rPr>
        <w:t xml:space="preserve">To download full version of this document click here: </w:t>
      </w:r>
      <w:hyperlink r:id="rId10" w:history="1">
        <w:r w:rsidR="00FA60AA">
          <w:rPr>
            <w:rStyle w:val="Hyperlink"/>
            <w:rFonts w:eastAsia="Times New Roman"/>
          </w:rPr>
          <w:t>https://advisera.com/eugdpracademy/documentation/supplier-data-processing-agreement/</w:t>
        </w:r>
      </w:hyperlink>
      <w:bookmarkStart w:id="4" w:name="_GoBack"/>
      <w:bookmarkEnd w:id="4"/>
    </w:p>
    <w:sectPr w:rsidR="00584D93" w:rsidRPr="00584D93">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2-19T14:04:00Z" w:initials="EUA">
    <w:p w14:paraId="29D510B5" w14:textId="1A8B2FEF" w:rsidR="001F5CA9" w:rsidRDefault="00BC51F6" w:rsidP="00BC51F6">
      <w:pPr>
        <w:pStyle w:val="CommentText"/>
      </w:pPr>
      <w:r>
        <w:rPr>
          <w:rStyle w:val="CommentReference"/>
        </w:rPr>
        <w:annotationRef/>
      </w:r>
      <w:r>
        <w:t xml:space="preserve">This document is best suited to be used </w:t>
      </w:r>
      <w:r w:rsidR="00C401C6">
        <w:t>when your company acts</w:t>
      </w:r>
      <w:r>
        <w:t xml:space="preserve"> as a data processor on behalf of a customer. </w:t>
      </w:r>
    </w:p>
    <w:p w14:paraId="7B262FFE" w14:textId="77777777" w:rsidR="001F5CA9" w:rsidRDefault="001F5CA9" w:rsidP="00BC51F6">
      <w:pPr>
        <w:pStyle w:val="CommentText"/>
      </w:pPr>
    </w:p>
    <w:p w14:paraId="5A9E6762" w14:textId="77777777" w:rsidR="00BC51F6" w:rsidRDefault="00C401C6" w:rsidP="00BC51F6">
      <w:pPr>
        <w:pStyle w:val="CommentText"/>
      </w:pPr>
      <w:r>
        <w:t>We recommend to use this agreement i</w:t>
      </w:r>
      <w:r w:rsidR="00BC51F6">
        <w:t>f you</w:t>
      </w:r>
      <w:r>
        <w:t>r company provides</w:t>
      </w:r>
      <w:r w:rsidR="00BC51F6">
        <w:t xml:space="preserve"> the same services to multiple customers and you would want to have the same data processing terms with all of them. This is recommended when you are a SaaS provider, cloud storage provider, etc.</w:t>
      </w:r>
    </w:p>
    <w:p w14:paraId="7DAA5007" w14:textId="77777777" w:rsidR="001F5CA9" w:rsidRDefault="001F5CA9" w:rsidP="00BC51F6">
      <w:pPr>
        <w:pStyle w:val="CommentText"/>
      </w:pPr>
    </w:p>
    <w:p w14:paraId="33E5E95E" w14:textId="09CD151B" w:rsidR="001F5CA9" w:rsidRDefault="001F5CA9" w:rsidP="00BC51F6">
      <w:pPr>
        <w:pStyle w:val="CommentText"/>
      </w:pPr>
      <w:r w:rsidRPr="009715E1">
        <w:rPr>
          <w:lang w:val="en-US"/>
        </w:rPr>
        <w:t>This is not a standalone document. It is meant to be an annex to the commercial agreement with the supplier who is processing data on your behalf.</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E5E9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E5E95E" w16cid:durableId="1FED79DD"/>
  <w16cid:commentId w16cid:paraId="54DDB62C" w16cid:durableId="1FED79DE"/>
  <w16cid:commentId w16cid:paraId="585A447F" w16cid:durableId="1FED79DF"/>
  <w16cid:commentId w16cid:paraId="1A02A723" w16cid:durableId="1FED79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19A2F" w14:textId="77777777" w:rsidR="00FE2217" w:rsidRDefault="00FE2217">
      <w:pPr>
        <w:spacing w:after="0" w:line="240" w:lineRule="auto"/>
      </w:pPr>
      <w:r>
        <w:separator/>
      </w:r>
    </w:p>
  </w:endnote>
  <w:endnote w:type="continuationSeparator" w:id="0">
    <w:p w14:paraId="4E8A5903" w14:textId="77777777" w:rsidR="00FE2217" w:rsidRDefault="00FE2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altName w:val="Arial Unicode MS"/>
    <w:charset w:val="86"/>
    <w:family w:val="auto"/>
    <w:pitch w:val="variable"/>
    <w:sig w:usb0="00000000" w:usb1="080F0000" w:usb2="00000010" w:usb3="00000000" w:csb0="0004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646938" w14:paraId="37D12BB5" w14:textId="77777777" w:rsidTr="00646938">
      <w:tc>
        <w:tcPr>
          <w:tcW w:w="3652" w:type="dxa"/>
          <w:shd w:val="clear" w:color="auto" w:fill="auto"/>
        </w:tcPr>
        <w:p w14:paraId="2F5BE5F6" w14:textId="77777777" w:rsidR="009253A3" w:rsidRPr="00646938" w:rsidRDefault="009B7E75">
          <w:pPr>
            <w:pStyle w:val="Footer"/>
            <w:rPr>
              <w:sz w:val="18"/>
              <w:szCs w:val="18"/>
            </w:rPr>
          </w:pPr>
          <w:r w:rsidRPr="00646938">
            <w:rPr>
              <w:sz w:val="18"/>
              <w:szCs w:val="18"/>
            </w:rPr>
            <w:t>Supplier Data Processing Agreement</w:t>
          </w:r>
        </w:p>
      </w:tc>
      <w:tc>
        <w:tcPr>
          <w:tcW w:w="2126" w:type="dxa"/>
          <w:shd w:val="clear" w:color="auto" w:fill="auto"/>
        </w:tcPr>
        <w:p w14:paraId="7391E80E" w14:textId="77777777" w:rsidR="009253A3" w:rsidRPr="00646938" w:rsidRDefault="009B7E75">
          <w:pPr>
            <w:pStyle w:val="Footer"/>
            <w:jc w:val="center"/>
            <w:rPr>
              <w:sz w:val="18"/>
              <w:szCs w:val="18"/>
            </w:rPr>
          </w:pPr>
          <w:r w:rsidRPr="00646938">
            <w:rPr>
              <w:sz w:val="18"/>
              <w:szCs w:val="18"/>
            </w:rPr>
            <w:t>ver [version] from [date]</w:t>
          </w:r>
        </w:p>
      </w:tc>
      <w:tc>
        <w:tcPr>
          <w:tcW w:w="3544" w:type="dxa"/>
          <w:shd w:val="clear" w:color="auto" w:fill="auto"/>
        </w:tcPr>
        <w:p w14:paraId="3F804B2F" w14:textId="3ABEB3B9" w:rsidR="009253A3" w:rsidRPr="00646938" w:rsidRDefault="009B7E75">
          <w:pPr>
            <w:pStyle w:val="Footer"/>
            <w:jc w:val="right"/>
            <w:rPr>
              <w:sz w:val="18"/>
              <w:szCs w:val="18"/>
            </w:rPr>
          </w:pPr>
          <w:r w:rsidRPr="00646938">
            <w:rPr>
              <w:sz w:val="18"/>
              <w:szCs w:val="18"/>
            </w:rPr>
            <w:t xml:space="preserve">Page </w:t>
          </w:r>
          <w:r w:rsidRPr="00646938">
            <w:rPr>
              <w:sz w:val="18"/>
              <w:szCs w:val="18"/>
            </w:rPr>
            <w:fldChar w:fldCharType="begin"/>
          </w:r>
          <w:r w:rsidRPr="00646938">
            <w:rPr>
              <w:sz w:val="18"/>
              <w:szCs w:val="18"/>
            </w:rPr>
            <w:instrText>PAGE</w:instrText>
          </w:r>
          <w:r w:rsidRPr="00646938">
            <w:rPr>
              <w:sz w:val="18"/>
              <w:szCs w:val="18"/>
            </w:rPr>
            <w:fldChar w:fldCharType="separate"/>
          </w:r>
          <w:r w:rsidR="00584D93">
            <w:rPr>
              <w:noProof/>
              <w:sz w:val="18"/>
              <w:szCs w:val="18"/>
            </w:rPr>
            <w:t>2</w:t>
          </w:r>
          <w:r w:rsidRPr="00646938">
            <w:rPr>
              <w:sz w:val="18"/>
              <w:szCs w:val="18"/>
            </w:rPr>
            <w:fldChar w:fldCharType="end"/>
          </w:r>
          <w:r w:rsidRPr="00646938">
            <w:rPr>
              <w:sz w:val="18"/>
              <w:szCs w:val="18"/>
            </w:rPr>
            <w:t xml:space="preserve"> of </w:t>
          </w:r>
          <w:r w:rsidRPr="00646938">
            <w:rPr>
              <w:sz w:val="18"/>
              <w:szCs w:val="18"/>
            </w:rPr>
            <w:fldChar w:fldCharType="begin"/>
          </w:r>
          <w:r w:rsidRPr="00646938">
            <w:rPr>
              <w:sz w:val="18"/>
              <w:szCs w:val="18"/>
            </w:rPr>
            <w:instrText>NUMPAGES</w:instrText>
          </w:r>
          <w:r w:rsidRPr="00646938">
            <w:rPr>
              <w:sz w:val="18"/>
              <w:szCs w:val="18"/>
            </w:rPr>
            <w:fldChar w:fldCharType="separate"/>
          </w:r>
          <w:r w:rsidR="00584D93">
            <w:rPr>
              <w:noProof/>
              <w:sz w:val="18"/>
              <w:szCs w:val="18"/>
            </w:rPr>
            <w:t>5</w:t>
          </w:r>
          <w:r w:rsidRPr="00646938">
            <w:rPr>
              <w:sz w:val="18"/>
              <w:szCs w:val="18"/>
            </w:rPr>
            <w:fldChar w:fldCharType="end"/>
          </w:r>
        </w:p>
      </w:tc>
    </w:tr>
  </w:tbl>
  <w:p w14:paraId="6E868C3A" w14:textId="7AA168C3" w:rsidR="009253A3" w:rsidRDefault="009B7E75">
    <w:pPr>
      <w:spacing w:after="0"/>
      <w:jc w:val="center"/>
      <w:rPr>
        <w:rFonts w:eastAsia="Times New Roman"/>
        <w:sz w:val="16"/>
        <w:szCs w:val="16"/>
      </w:rPr>
    </w:pPr>
    <w:r>
      <w:rPr>
        <w:rFonts w:eastAsia="Times New Roman"/>
        <w:sz w:val="16"/>
        <w:szCs w:val="16"/>
      </w:rPr>
      <w:t>©201</w:t>
    </w:r>
    <w:r w:rsidR="00662FB9">
      <w:rPr>
        <w:rFonts w:eastAsia="Times New Roman"/>
        <w:sz w:val="16"/>
        <w:szCs w:val="16"/>
      </w:rPr>
      <w:t>9</w:t>
    </w:r>
    <w:r>
      <w:rPr>
        <w:rFonts w:eastAsia="Times New Roman"/>
        <w:sz w:val="16"/>
        <w:szCs w:val="16"/>
      </w:rPr>
      <w:t xml:space="preserve">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3AA30717" w:rsidR="009253A3" w:rsidRDefault="00662FB9">
    <w:pPr>
      <w:spacing w:after="0"/>
      <w:jc w:val="center"/>
      <w:rPr>
        <w:rFonts w:eastAsia="Times New Roman"/>
        <w:sz w:val="16"/>
        <w:szCs w:val="16"/>
      </w:rPr>
    </w:pPr>
    <w:r>
      <w:rPr>
        <w:rFonts w:eastAsia="Times New Roman"/>
        <w:sz w:val="16"/>
        <w:szCs w:val="16"/>
      </w:rPr>
      <w:t>©2019</w:t>
    </w:r>
    <w:r w:rsidR="009B7E75">
      <w:rPr>
        <w:rFonts w:eastAsia="Times New Roman"/>
        <w:sz w:val="16"/>
        <w:szCs w:val="16"/>
      </w:rPr>
      <w:t xml:space="preserve">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574C4" w14:textId="77777777" w:rsidR="00FE2217" w:rsidRDefault="00FE2217">
      <w:pPr>
        <w:spacing w:after="0" w:line="240" w:lineRule="auto"/>
      </w:pPr>
      <w:r>
        <w:separator/>
      </w:r>
    </w:p>
  </w:footnote>
  <w:footnote w:type="continuationSeparator" w:id="0">
    <w:p w14:paraId="58425A7A" w14:textId="77777777" w:rsidR="00FE2217" w:rsidRDefault="00FE22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77777777" w:rsidR="009253A3" w:rsidRDefault="009B7E75">
          <w:pPr>
            <w:pStyle w:val="Header"/>
            <w:spacing w:after="0"/>
            <w:rPr>
              <w:sz w:val="20"/>
              <w:szCs w:val="20"/>
            </w:rPr>
          </w:pPr>
          <w:r>
            <w:rPr>
              <w:sz w:val="20"/>
            </w:rPr>
            <w:t xml:space="preserve"> [organization name]</w:t>
          </w:r>
        </w:p>
      </w:tc>
      <w:tc>
        <w:tcPr>
          <w:tcW w:w="2482" w:type="dxa"/>
          <w:shd w:val="clear" w:color="auto" w:fill="auto"/>
        </w:tcPr>
        <w:p w14:paraId="014D7382" w14:textId="77777777" w:rsidR="009253A3" w:rsidRDefault="009B7E75">
          <w:pPr>
            <w:pStyle w:val="Header"/>
            <w:spacing w:after="0"/>
            <w:jc w:val="right"/>
            <w:rPr>
              <w:sz w:val="20"/>
              <w:szCs w:val="20"/>
            </w:rPr>
          </w:pPr>
          <w:r>
            <w:rPr>
              <w:sz w:val="20"/>
            </w:rPr>
            <w:t>[confidentiality level]</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19AE6EC5"/>
    <w:multiLevelType w:val="multilevel"/>
    <w:tmpl w:val="2EE0A5C6"/>
    <w:lvl w:ilvl="0">
      <w:start w:val="1"/>
      <w:numFmt w:val="decimal"/>
      <w:pStyle w:val="Heading"/>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3">
    <w:nsid w:val="23CB659F"/>
    <w:multiLevelType w:val="multilevel"/>
    <w:tmpl w:val="E8B88A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STZhongsong" w:hint="default"/>
      </w:rPr>
    </w:lvl>
    <w:lvl w:ilvl="2">
      <w:start w:val="1"/>
      <w:numFmt w:val="decimal"/>
      <w:isLgl/>
      <w:lvlText w:val="%1.%2.%3"/>
      <w:lvlJc w:val="left"/>
      <w:pPr>
        <w:ind w:left="1080" w:hanging="720"/>
      </w:pPr>
      <w:rPr>
        <w:rFonts w:eastAsia="STZhongsong" w:hint="default"/>
      </w:rPr>
    </w:lvl>
    <w:lvl w:ilvl="3">
      <w:start w:val="1"/>
      <w:numFmt w:val="decimal"/>
      <w:isLgl/>
      <w:lvlText w:val="%1.%2.%3.%4"/>
      <w:lvlJc w:val="left"/>
      <w:pPr>
        <w:ind w:left="1080" w:hanging="720"/>
      </w:pPr>
      <w:rPr>
        <w:rFonts w:eastAsia="STZhongsong" w:hint="default"/>
      </w:rPr>
    </w:lvl>
    <w:lvl w:ilvl="4">
      <w:start w:val="1"/>
      <w:numFmt w:val="decimal"/>
      <w:isLgl/>
      <w:lvlText w:val="%1.%2.%3.%4.%5"/>
      <w:lvlJc w:val="left"/>
      <w:pPr>
        <w:ind w:left="1440" w:hanging="1080"/>
      </w:pPr>
      <w:rPr>
        <w:rFonts w:eastAsia="STZhongsong" w:hint="default"/>
      </w:rPr>
    </w:lvl>
    <w:lvl w:ilvl="5">
      <w:start w:val="1"/>
      <w:numFmt w:val="decimal"/>
      <w:isLgl/>
      <w:lvlText w:val="%1.%2.%3.%4.%5.%6"/>
      <w:lvlJc w:val="left"/>
      <w:pPr>
        <w:ind w:left="1440" w:hanging="1080"/>
      </w:pPr>
      <w:rPr>
        <w:rFonts w:eastAsia="STZhongsong" w:hint="default"/>
      </w:rPr>
    </w:lvl>
    <w:lvl w:ilvl="6">
      <w:start w:val="1"/>
      <w:numFmt w:val="decimal"/>
      <w:isLgl/>
      <w:lvlText w:val="%1.%2.%3.%4.%5.%6.%7"/>
      <w:lvlJc w:val="left"/>
      <w:pPr>
        <w:ind w:left="1800" w:hanging="1440"/>
      </w:pPr>
      <w:rPr>
        <w:rFonts w:eastAsia="STZhongsong" w:hint="default"/>
      </w:rPr>
    </w:lvl>
    <w:lvl w:ilvl="7">
      <w:start w:val="1"/>
      <w:numFmt w:val="decimal"/>
      <w:isLgl/>
      <w:lvlText w:val="%1.%2.%3.%4.%5.%6.%7.%8"/>
      <w:lvlJc w:val="left"/>
      <w:pPr>
        <w:ind w:left="1800" w:hanging="1440"/>
      </w:pPr>
      <w:rPr>
        <w:rFonts w:eastAsia="STZhongsong" w:hint="default"/>
      </w:rPr>
    </w:lvl>
    <w:lvl w:ilvl="8">
      <w:start w:val="1"/>
      <w:numFmt w:val="decimal"/>
      <w:isLgl/>
      <w:lvlText w:val="%1.%2.%3.%4.%5.%6.%7.%8.%9"/>
      <w:lvlJc w:val="left"/>
      <w:pPr>
        <w:ind w:left="1800" w:hanging="1440"/>
      </w:pPr>
      <w:rPr>
        <w:rFonts w:eastAsia="STZhongsong" w:hint="default"/>
      </w:rPr>
    </w:lvl>
  </w:abstractNum>
  <w:abstractNum w:abstractNumId="4">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9">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2">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3">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4">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5">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9">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6"/>
  </w:num>
  <w:num w:numId="2">
    <w:abstractNumId w:val="10"/>
  </w:num>
  <w:num w:numId="3">
    <w:abstractNumId w:val="15"/>
  </w:num>
  <w:num w:numId="4">
    <w:abstractNumId w:val="12"/>
  </w:num>
  <w:num w:numId="5">
    <w:abstractNumId w:val="7"/>
  </w:num>
  <w:num w:numId="6">
    <w:abstractNumId w:val="4"/>
  </w:num>
  <w:num w:numId="7">
    <w:abstractNumId w:val="9"/>
  </w:num>
  <w:num w:numId="8">
    <w:abstractNumId w:val="2"/>
  </w:num>
  <w:num w:numId="9">
    <w:abstractNumId w:val="5"/>
  </w:num>
  <w:num w:numId="10">
    <w:abstractNumId w:val="8"/>
  </w:num>
  <w:num w:numId="11">
    <w:abstractNumId w:val="11"/>
  </w:num>
  <w:num w:numId="12">
    <w:abstractNumId w:val="18"/>
  </w:num>
  <w:num w:numId="13">
    <w:abstractNumId w:val="16"/>
  </w:num>
  <w:num w:numId="14">
    <w:abstractNumId w:val="13"/>
  </w:num>
  <w:num w:numId="15">
    <w:abstractNumId w:val="17"/>
  </w:num>
  <w:num w:numId="16">
    <w:abstractNumId w:val="0"/>
  </w:num>
  <w:num w:numId="17">
    <w:abstractNumId w:val="19"/>
  </w:num>
  <w:num w:numId="18">
    <w:abstractNumId w:val="14"/>
  </w:num>
  <w:num w:numId="19">
    <w:abstractNumId w:val="3"/>
  </w:num>
  <w:num w:numId="20">
    <w:abstractNumId w:val="15"/>
  </w:num>
  <w:num w:numId="2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2Mza1tLQwNbc0tzRR0lEKTi0uzszPAykwrAUAIxAaHCwAAAA="/>
  </w:docVars>
  <w:rsids>
    <w:rsidRoot w:val="009253A3"/>
    <w:rsid w:val="00035BFD"/>
    <w:rsid w:val="00092294"/>
    <w:rsid w:val="000961EB"/>
    <w:rsid w:val="000F2992"/>
    <w:rsid w:val="001F5CA9"/>
    <w:rsid w:val="00252059"/>
    <w:rsid w:val="00302009"/>
    <w:rsid w:val="005548AA"/>
    <w:rsid w:val="00584D93"/>
    <w:rsid w:val="00646938"/>
    <w:rsid w:val="00661373"/>
    <w:rsid w:val="00662FB9"/>
    <w:rsid w:val="0079242A"/>
    <w:rsid w:val="007C7828"/>
    <w:rsid w:val="00845600"/>
    <w:rsid w:val="009253A3"/>
    <w:rsid w:val="009B7E75"/>
    <w:rsid w:val="00AB7CBE"/>
    <w:rsid w:val="00B10D5D"/>
    <w:rsid w:val="00B22BAC"/>
    <w:rsid w:val="00B45718"/>
    <w:rsid w:val="00BC51F6"/>
    <w:rsid w:val="00C401C6"/>
    <w:rsid w:val="00D85D48"/>
    <w:rsid w:val="00E4220F"/>
    <w:rsid w:val="00EA2B8F"/>
    <w:rsid w:val="00ED4D4B"/>
    <w:rsid w:val="00F35A2B"/>
    <w:rsid w:val="00F474B3"/>
    <w:rsid w:val="00FA60AA"/>
    <w:rsid w:val="00FE2217"/>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autoRedefine/>
    <w:qFormat/>
    <w:rsid w:val="00F35A2B"/>
    <w:pPr>
      <w:keepNext/>
      <w:numPr>
        <w:numId w:val="21"/>
      </w:numPr>
      <w:spacing w:before="240" w:after="120"/>
      <w:ind w:left="414" w:hanging="357"/>
    </w:pPr>
    <w:rPr>
      <w:rFonts w:eastAsia="Noto Sans CJK SC Regular" w:cs="FreeSans"/>
      <w:b/>
      <w:sz w:val="32"/>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rginText">
    <w:name w:val="Margin Text"/>
    <w:basedOn w:val="Normal"/>
    <w:rsid w:val="00BC51F6"/>
    <w:pPr>
      <w:adjustRightInd w:val="0"/>
      <w:spacing w:after="240" w:line="240" w:lineRule="auto"/>
      <w:jc w:val="both"/>
    </w:pPr>
    <w:rPr>
      <w:rFonts w:ascii="Times New Roman" w:eastAsia="STZhongsong" w:hAnsi="Times New Roman"/>
      <w:color w:val="auto"/>
      <w:szCs w:val="20"/>
      <w:lang w:eastAsia="zh-CN"/>
    </w:rPr>
  </w:style>
  <w:style w:type="character" w:styleId="Hyperlink">
    <w:name w:val="Hyperlink"/>
    <w:basedOn w:val="DefaultParagraphFont"/>
    <w:uiPriority w:val="99"/>
    <w:unhideWhenUsed/>
    <w:rsid w:val="00584D9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supplier-data-processing-agre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E864B-9D6B-412F-965E-4AA6BC75F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Supplier Data Processing Agreement</vt:lpstr>
    </vt:vector>
  </TitlesOfParts>
  <Company>Advisera Expert Solutions Ltd</Company>
  <LinksUpToDate>false</LinksUpToDate>
  <CharactersWithSpaces>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Data Processing Agreement version B</dc:title>
  <dc:subject/>
  <dc:creator>EUGDPRAcademy</dc:creator>
  <dc:description>©2019 This template may be used by clients of Advisera Expert Solutions Ltd. in accordance with the License Agreement.</dc:description>
  <cp:lastModifiedBy>EUGDPRAcademy</cp:lastModifiedBy>
  <cp:revision>5</cp:revision>
  <dcterms:created xsi:type="dcterms:W3CDTF">2019-01-30T11:11:00Z</dcterms:created>
  <dcterms:modified xsi:type="dcterms:W3CDTF">2019-02-08T22:26:00Z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