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DB8CA" w14:textId="3D47DE18" w:rsidR="00E21A3C" w:rsidRPr="00BE72C0" w:rsidRDefault="00BE72C0" w:rsidP="00BE72C0">
      <w:pPr>
        <w:jc w:val="center"/>
      </w:pPr>
      <w:r w:rsidRPr="00BE72C0">
        <w:t>** FREE PREVIEW VERSION **</w:t>
      </w:r>
    </w:p>
    <w:p w14:paraId="7EA72214" w14:textId="77777777" w:rsidR="00E21A3C" w:rsidRPr="00BE72C0" w:rsidRDefault="00E21A3C"/>
    <w:p w14:paraId="6CD34D7A" w14:textId="77777777" w:rsidR="00E21A3C" w:rsidRPr="00BE72C0" w:rsidRDefault="00E21A3C"/>
    <w:p w14:paraId="01503709" w14:textId="77777777" w:rsidR="00E21A3C" w:rsidRPr="00BE72C0" w:rsidRDefault="00E21A3C"/>
    <w:p w14:paraId="7D5C1587" w14:textId="77777777" w:rsidR="00E21A3C" w:rsidRPr="00BE72C0" w:rsidRDefault="00E21A3C"/>
    <w:p w14:paraId="50B2E443" w14:textId="77777777" w:rsidR="00E21A3C" w:rsidRPr="00BE72C0" w:rsidRDefault="00E21A3C"/>
    <w:p w14:paraId="79EBCC42" w14:textId="77777777" w:rsidR="00E21A3C" w:rsidRPr="00BE72C0" w:rsidRDefault="00586A03">
      <w:pPr>
        <w:jc w:val="center"/>
      </w:pPr>
      <w:commentRangeStart w:id="0"/>
      <w:r w:rsidRPr="00BE72C0">
        <w:t>[organization logo]</w:t>
      </w:r>
      <w:commentRangeEnd w:id="0"/>
      <w:r w:rsidR="00E85F8F" w:rsidRPr="00BE72C0">
        <w:rPr>
          <w:rStyle w:val="CommentReference"/>
        </w:rPr>
        <w:commentReference w:id="0"/>
      </w:r>
    </w:p>
    <w:p w14:paraId="6607EBB9" w14:textId="77777777" w:rsidR="00E21A3C" w:rsidRPr="00BE72C0" w:rsidRDefault="00586A03">
      <w:pPr>
        <w:jc w:val="center"/>
      </w:pPr>
      <w:r w:rsidRPr="00BE72C0">
        <w:t>[organization name]</w:t>
      </w:r>
    </w:p>
    <w:p w14:paraId="58EAF9D6" w14:textId="77777777" w:rsidR="00E21A3C" w:rsidRPr="00BE72C0" w:rsidRDefault="00E21A3C">
      <w:pPr>
        <w:jc w:val="center"/>
      </w:pPr>
    </w:p>
    <w:p w14:paraId="497F7A95" w14:textId="77777777" w:rsidR="00E21A3C" w:rsidRPr="00BE72C0" w:rsidRDefault="00E21A3C">
      <w:pPr>
        <w:jc w:val="center"/>
      </w:pPr>
    </w:p>
    <w:p w14:paraId="3A8E78ED" w14:textId="77777777" w:rsidR="00E21A3C" w:rsidRPr="00BE72C0" w:rsidRDefault="00586A03">
      <w:pPr>
        <w:jc w:val="center"/>
        <w:rPr>
          <w:b/>
          <w:sz w:val="32"/>
          <w:szCs w:val="32"/>
        </w:rPr>
      </w:pPr>
      <w:commentRangeStart w:id="1"/>
      <w:commentRangeStart w:id="2"/>
      <w:r w:rsidRPr="00BE72C0">
        <w:rPr>
          <w:b/>
          <w:sz w:val="32"/>
        </w:rPr>
        <w:t>MOBILE DEVICE AND TELEWORKING POLICY</w:t>
      </w:r>
      <w:commentRangeEnd w:id="1"/>
      <w:r w:rsidR="00E85F8F" w:rsidRPr="00BE72C0">
        <w:rPr>
          <w:rStyle w:val="CommentReference"/>
        </w:rPr>
        <w:commentReference w:id="1"/>
      </w:r>
      <w:commentRangeEnd w:id="2"/>
      <w:r w:rsidR="00E85F8F" w:rsidRPr="00BE72C0">
        <w:rPr>
          <w:rStyle w:val="CommentReference"/>
        </w:rPr>
        <w:commentReference w:id="2"/>
      </w:r>
    </w:p>
    <w:p w14:paraId="06C1EAED" w14:textId="77777777" w:rsidR="00E21A3C" w:rsidRPr="00BE72C0" w:rsidRDefault="00E21A3C">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E21A3C" w:rsidRPr="00BE72C0" w14:paraId="10187B7C" w14:textId="77777777">
        <w:tc>
          <w:tcPr>
            <w:tcW w:w="2375" w:type="dxa"/>
            <w:tcBorders>
              <w:top w:val="single" w:sz="4" w:space="0" w:color="000001"/>
              <w:bottom w:val="single" w:sz="4" w:space="0" w:color="000001"/>
              <w:right w:val="single" w:sz="4" w:space="0" w:color="000001"/>
            </w:tcBorders>
            <w:shd w:val="clear" w:color="auto" w:fill="auto"/>
          </w:tcPr>
          <w:p w14:paraId="585E3CDE" w14:textId="77777777" w:rsidR="00E21A3C" w:rsidRPr="00BE72C0" w:rsidRDefault="00586A03">
            <w:commentRangeStart w:id="3"/>
            <w:r w:rsidRPr="00BE72C0">
              <w:t>Code</w:t>
            </w:r>
            <w:commentRangeEnd w:id="3"/>
            <w:r w:rsidR="00E85F8F" w:rsidRPr="00BE72C0">
              <w:rPr>
                <w:rStyle w:val="CommentReference"/>
              </w:rPr>
              <w:commentReference w:id="3"/>
            </w:r>
            <w:r w:rsidRPr="00BE72C0">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2520863" w14:textId="77777777" w:rsidR="00E21A3C" w:rsidRPr="00BE72C0" w:rsidRDefault="00E21A3C"/>
        </w:tc>
      </w:tr>
      <w:tr w:rsidR="00E21A3C" w:rsidRPr="00BE72C0" w14:paraId="455CB5FA" w14:textId="77777777">
        <w:tc>
          <w:tcPr>
            <w:tcW w:w="2375" w:type="dxa"/>
            <w:tcBorders>
              <w:top w:val="single" w:sz="4" w:space="0" w:color="000001"/>
              <w:bottom w:val="single" w:sz="4" w:space="0" w:color="000001"/>
              <w:right w:val="single" w:sz="4" w:space="0" w:color="000001"/>
            </w:tcBorders>
            <w:shd w:val="clear" w:color="auto" w:fill="auto"/>
          </w:tcPr>
          <w:p w14:paraId="1645FC65" w14:textId="77777777" w:rsidR="00E21A3C" w:rsidRPr="00BE72C0" w:rsidRDefault="00586A03">
            <w:r w:rsidRPr="00BE72C0">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15F078F3" w14:textId="77777777" w:rsidR="00E21A3C" w:rsidRPr="00BE72C0" w:rsidRDefault="00E21A3C"/>
        </w:tc>
      </w:tr>
      <w:tr w:rsidR="00E21A3C" w:rsidRPr="00BE72C0" w14:paraId="02F380FB" w14:textId="77777777">
        <w:tc>
          <w:tcPr>
            <w:tcW w:w="2375" w:type="dxa"/>
            <w:tcBorders>
              <w:top w:val="single" w:sz="4" w:space="0" w:color="000001"/>
              <w:bottom w:val="single" w:sz="4" w:space="0" w:color="000001"/>
              <w:right w:val="single" w:sz="4" w:space="0" w:color="000001"/>
            </w:tcBorders>
            <w:shd w:val="clear" w:color="auto" w:fill="auto"/>
          </w:tcPr>
          <w:p w14:paraId="10BE1E66" w14:textId="77777777" w:rsidR="00E21A3C" w:rsidRPr="00BE72C0" w:rsidRDefault="00586A03">
            <w:r w:rsidRPr="00BE72C0">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68A0FC14" w14:textId="77777777" w:rsidR="00E21A3C" w:rsidRPr="00BE72C0" w:rsidRDefault="00E21A3C"/>
        </w:tc>
      </w:tr>
      <w:tr w:rsidR="00E21A3C" w:rsidRPr="00BE72C0" w14:paraId="7010EF8F" w14:textId="77777777">
        <w:tc>
          <w:tcPr>
            <w:tcW w:w="2375" w:type="dxa"/>
            <w:tcBorders>
              <w:top w:val="single" w:sz="4" w:space="0" w:color="000001"/>
              <w:bottom w:val="single" w:sz="4" w:space="0" w:color="000001"/>
              <w:right w:val="single" w:sz="4" w:space="0" w:color="000001"/>
            </w:tcBorders>
            <w:shd w:val="clear" w:color="auto" w:fill="auto"/>
          </w:tcPr>
          <w:p w14:paraId="52A7DE5F" w14:textId="77777777" w:rsidR="00E21A3C" w:rsidRPr="00BE72C0" w:rsidRDefault="00586A03">
            <w:r w:rsidRPr="00BE72C0">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D0ABD68" w14:textId="77777777" w:rsidR="00E21A3C" w:rsidRPr="00BE72C0" w:rsidRDefault="00E21A3C"/>
        </w:tc>
      </w:tr>
      <w:tr w:rsidR="00E21A3C" w:rsidRPr="00BE72C0" w14:paraId="1175FF56" w14:textId="77777777">
        <w:tc>
          <w:tcPr>
            <w:tcW w:w="2375" w:type="dxa"/>
            <w:tcBorders>
              <w:top w:val="single" w:sz="4" w:space="0" w:color="000001"/>
              <w:bottom w:val="single" w:sz="4" w:space="0" w:color="000001"/>
              <w:right w:val="single" w:sz="4" w:space="0" w:color="000001"/>
            </w:tcBorders>
            <w:shd w:val="clear" w:color="auto" w:fill="auto"/>
          </w:tcPr>
          <w:p w14:paraId="54C3244E" w14:textId="77777777" w:rsidR="00E21A3C" w:rsidRPr="00BE72C0" w:rsidRDefault="00586A03">
            <w:r w:rsidRPr="00BE72C0">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D5498C7" w14:textId="77777777" w:rsidR="00E21A3C" w:rsidRPr="00BE72C0" w:rsidRDefault="00E21A3C"/>
        </w:tc>
      </w:tr>
      <w:tr w:rsidR="00E21A3C" w:rsidRPr="00BE72C0" w14:paraId="14F0F9DF" w14:textId="77777777">
        <w:tc>
          <w:tcPr>
            <w:tcW w:w="2375" w:type="dxa"/>
            <w:tcBorders>
              <w:top w:val="single" w:sz="4" w:space="0" w:color="000001"/>
              <w:bottom w:val="single" w:sz="4" w:space="0" w:color="000001"/>
              <w:right w:val="single" w:sz="4" w:space="0" w:color="000001"/>
            </w:tcBorders>
            <w:shd w:val="clear" w:color="auto" w:fill="auto"/>
          </w:tcPr>
          <w:p w14:paraId="76D12F13" w14:textId="77777777" w:rsidR="00E21A3C" w:rsidRPr="00BE72C0" w:rsidRDefault="00586A03">
            <w:r w:rsidRPr="00BE72C0">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207EBE1" w14:textId="77777777" w:rsidR="00E21A3C" w:rsidRPr="00BE72C0" w:rsidRDefault="00E21A3C"/>
        </w:tc>
      </w:tr>
    </w:tbl>
    <w:p w14:paraId="7BAE9F66" w14:textId="77777777" w:rsidR="00E21A3C" w:rsidRPr="00BE72C0" w:rsidRDefault="00E21A3C"/>
    <w:p w14:paraId="7525FF84" w14:textId="77777777" w:rsidR="00E21A3C" w:rsidRPr="00BE72C0" w:rsidRDefault="00586A03">
      <w:r w:rsidRPr="00BE72C0">
        <w:br w:type="page"/>
      </w:r>
    </w:p>
    <w:p w14:paraId="4DC867B5" w14:textId="77777777" w:rsidR="00E21A3C" w:rsidRPr="00BE72C0" w:rsidRDefault="00586A03">
      <w:pPr>
        <w:rPr>
          <w:b/>
          <w:sz w:val="28"/>
          <w:szCs w:val="28"/>
        </w:rPr>
      </w:pPr>
      <w:r w:rsidRPr="00BE72C0">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E21A3C" w:rsidRPr="00BE72C0" w14:paraId="10095AD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3F753B" w14:textId="77777777" w:rsidR="00E21A3C" w:rsidRPr="00BE72C0" w:rsidRDefault="00586A03">
            <w:pPr>
              <w:rPr>
                <w:b/>
              </w:rPr>
            </w:pPr>
            <w:r w:rsidRPr="00BE72C0">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81102E" w14:textId="77777777" w:rsidR="00E21A3C" w:rsidRPr="00BE72C0" w:rsidRDefault="00586A03">
            <w:pPr>
              <w:rPr>
                <w:b/>
              </w:rPr>
            </w:pPr>
            <w:r w:rsidRPr="00BE72C0">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5693F1" w14:textId="77777777" w:rsidR="00E21A3C" w:rsidRPr="00BE72C0" w:rsidRDefault="00586A03">
            <w:pPr>
              <w:rPr>
                <w:b/>
              </w:rPr>
            </w:pPr>
            <w:r w:rsidRPr="00BE72C0">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767F95" w14:textId="77777777" w:rsidR="00E21A3C" w:rsidRPr="00BE72C0" w:rsidRDefault="00586A03">
            <w:pPr>
              <w:rPr>
                <w:b/>
              </w:rPr>
            </w:pPr>
            <w:r w:rsidRPr="00BE72C0">
              <w:rPr>
                <w:b/>
              </w:rPr>
              <w:t>Description of change</w:t>
            </w:r>
          </w:p>
        </w:tc>
      </w:tr>
      <w:tr w:rsidR="00E21A3C" w:rsidRPr="00BE72C0" w14:paraId="62BC8A5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EF7AB2" w14:textId="7AAD7CE0" w:rsidR="00E21A3C" w:rsidRPr="00BE72C0" w:rsidRDefault="00E85F8F">
            <w:r w:rsidRPr="00BE72C0">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42D128" w14:textId="77777777" w:rsidR="00E21A3C" w:rsidRPr="00BE72C0" w:rsidRDefault="00586A03">
            <w:r w:rsidRPr="00BE72C0">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5EEB35" w14:textId="49E2DB21" w:rsidR="00E21A3C" w:rsidRPr="00BE72C0" w:rsidRDefault="00E85F8F" w:rsidP="00E85F8F">
            <w:r w:rsidRPr="00BE72C0">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723DE0" w14:textId="77777777" w:rsidR="00E21A3C" w:rsidRPr="00BE72C0" w:rsidRDefault="00586A03">
            <w:r w:rsidRPr="00BE72C0">
              <w:t>Basic document outline</w:t>
            </w:r>
          </w:p>
        </w:tc>
      </w:tr>
      <w:tr w:rsidR="00E21A3C" w:rsidRPr="00BE72C0" w14:paraId="10B77A2B"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1364B8" w14:textId="77777777" w:rsidR="00E21A3C" w:rsidRPr="00BE72C0" w:rsidRDefault="00E21A3C"/>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0BED7D" w14:textId="77777777" w:rsidR="00E21A3C" w:rsidRPr="00BE72C0" w:rsidRDefault="00E21A3C"/>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A2BDFC" w14:textId="77777777" w:rsidR="00E21A3C" w:rsidRPr="00BE72C0" w:rsidRDefault="00E21A3C"/>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5F43C3" w14:textId="77777777" w:rsidR="00E21A3C" w:rsidRPr="00BE72C0" w:rsidRDefault="00E21A3C"/>
        </w:tc>
      </w:tr>
      <w:tr w:rsidR="00E21A3C" w:rsidRPr="00BE72C0" w14:paraId="498AE9E0"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D66D81" w14:textId="77777777" w:rsidR="00E21A3C" w:rsidRPr="00BE72C0" w:rsidRDefault="00E21A3C"/>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33DC4E" w14:textId="77777777" w:rsidR="00E21A3C" w:rsidRPr="00BE72C0" w:rsidRDefault="00E21A3C"/>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97927F" w14:textId="77777777" w:rsidR="00E21A3C" w:rsidRPr="00BE72C0" w:rsidRDefault="00E21A3C"/>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DBFD23" w14:textId="77777777" w:rsidR="00E21A3C" w:rsidRPr="00BE72C0" w:rsidRDefault="00E21A3C"/>
        </w:tc>
      </w:tr>
      <w:tr w:rsidR="00E21A3C" w:rsidRPr="00BE72C0" w14:paraId="34C080EC"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3B1F1F" w14:textId="77777777" w:rsidR="00E21A3C" w:rsidRPr="00BE72C0" w:rsidRDefault="00E21A3C"/>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25E5EC" w14:textId="77777777" w:rsidR="00E21A3C" w:rsidRPr="00BE72C0" w:rsidRDefault="00E21A3C"/>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F23360" w14:textId="77777777" w:rsidR="00E21A3C" w:rsidRPr="00BE72C0" w:rsidRDefault="00E21A3C"/>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A9BCE6" w14:textId="77777777" w:rsidR="00E21A3C" w:rsidRPr="00BE72C0" w:rsidRDefault="00E21A3C"/>
        </w:tc>
      </w:tr>
      <w:tr w:rsidR="00E21A3C" w:rsidRPr="00BE72C0" w14:paraId="4F1E870F"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1EAE82" w14:textId="77777777" w:rsidR="00E21A3C" w:rsidRPr="00BE72C0" w:rsidRDefault="00E21A3C"/>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1983B9" w14:textId="77777777" w:rsidR="00E21A3C" w:rsidRPr="00BE72C0" w:rsidRDefault="00E21A3C"/>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DF2985" w14:textId="77777777" w:rsidR="00E21A3C" w:rsidRPr="00BE72C0" w:rsidRDefault="00E21A3C"/>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8C0F0" w14:textId="77777777" w:rsidR="00E21A3C" w:rsidRPr="00BE72C0" w:rsidRDefault="00E21A3C"/>
        </w:tc>
      </w:tr>
      <w:tr w:rsidR="00E21A3C" w:rsidRPr="00BE72C0" w14:paraId="4BCA99EE"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303C6A" w14:textId="77777777" w:rsidR="00E21A3C" w:rsidRPr="00BE72C0" w:rsidRDefault="00E21A3C"/>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8A92EA" w14:textId="77777777" w:rsidR="00E21A3C" w:rsidRPr="00BE72C0" w:rsidRDefault="00E21A3C"/>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32DDC4" w14:textId="77777777" w:rsidR="00E21A3C" w:rsidRPr="00BE72C0" w:rsidRDefault="00E21A3C"/>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72A256" w14:textId="77777777" w:rsidR="00E21A3C" w:rsidRPr="00BE72C0" w:rsidRDefault="00E21A3C"/>
        </w:tc>
      </w:tr>
      <w:tr w:rsidR="00E21A3C" w:rsidRPr="00BE72C0" w14:paraId="13512DE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800D63" w14:textId="77777777" w:rsidR="00E21A3C" w:rsidRPr="00BE72C0" w:rsidRDefault="00E21A3C"/>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8E6535" w14:textId="77777777" w:rsidR="00E21A3C" w:rsidRPr="00BE72C0" w:rsidRDefault="00E21A3C"/>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CD7EB8" w14:textId="77777777" w:rsidR="00E21A3C" w:rsidRPr="00BE72C0" w:rsidRDefault="00E21A3C"/>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311DD" w14:textId="77777777" w:rsidR="00E21A3C" w:rsidRPr="00BE72C0" w:rsidRDefault="00E21A3C"/>
        </w:tc>
      </w:tr>
    </w:tbl>
    <w:p w14:paraId="2C5A5F2B" w14:textId="77777777" w:rsidR="00E21A3C" w:rsidRPr="00BE72C0" w:rsidRDefault="00E21A3C"/>
    <w:p w14:paraId="2201B835" w14:textId="77777777" w:rsidR="00E21A3C" w:rsidRPr="00BE72C0" w:rsidRDefault="00E21A3C"/>
    <w:p w14:paraId="37049CF3" w14:textId="77777777" w:rsidR="00E21A3C" w:rsidRPr="00BE72C0" w:rsidRDefault="00586A03">
      <w:r w:rsidRPr="00BE72C0">
        <w:rPr>
          <w:b/>
          <w:sz w:val="28"/>
        </w:rPr>
        <w:t>Table of contents</w:t>
      </w:r>
    </w:p>
    <w:p w14:paraId="5407662C" w14:textId="77777777" w:rsidR="00E85F8F" w:rsidRPr="00BE72C0" w:rsidRDefault="00586A03">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BE72C0">
        <w:fldChar w:fldCharType="begin"/>
      </w:r>
      <w:r w:rsidRPr="00BE72C0">
        <w:instrText>TOC \z \o "1-3" \u \h</w:instrText>
      </w:r>
      <w:r w:rsidRPr="00BE72C0">
        <w:fldChar w:fldCharType="separate"/>
      </w:r>
      <w:hyperlink w:anchor="_Toc496560981" w:history="1">
        <w:r w:rsidR="00E85F8F" w:rsidRPr="00BE72C0">
          <w:rPr>
            <w:rStyle w:val="Hyperlink"/>
          </w:rPr>
          <w:t>1.</w:t>
        </w:r>
        <w:r w:rsidR="00E85F8F" w:rsidRPr="00BE72C0">
          <w:rPr>
            <w:rFonts w:asciiTheme="minorHAnsi" w:eastAsiaTheme="minorEastAsia" w:hAnsiTheme="minorHAnsi" w:cstheme="minorBidi"/>
            <w:b w:val="0"/>
            <w:bCs w:val="0"/>
            <w:caps w:val="0"/>
            <w:sz w:val="22"/>
            <w:szCs w:val="22"/>
            <w:lang w:eastAsia="zh-CN"/>
          </w:rPr>
          <w:tab/>
        </w:r>
        <w:r w:rsidR="00E85F8F" w:rsidRPr="00BE72C0">
          <w:rPr>
            <w:rStyle w:val="Hyperlink"/>
          </w:rPr>
          <w:t>Purpose, scope and users</w:t>
        </w:r>
        <w:r w:rsidR="00E85F8F" w:rsidRPr="00BE72C0">
          <w:rPr>
            <w:webHidden/>
          </w:rPr>
          <w:tab/>
        </w:r>
        <w:r w:rsidR="00E85F8F" w:rsidRPr="00BE72C0">
          <w:rPr>
            <w:webHidden/>
          </w:rPr>
          <w:fldChar w:fldCharType="begin"/>
        </w:r>
        <w:r w:rsidR="00E85F8F" w:rsidRPr="00BE72C0">
          <w:rPr>
            <w:webHidden/>
          </w:rPr>
          <w:instrText xml:space="preserve"> PAGEREF _Toc496560981 \h </w:instrText>
        </w:r>
        <w:r w:rsidR="00E85F8F" w:rsidRPr="00BE72C0">
          <w:rPr>
            <w:webHidden/>
          </w:rPr>
        </w:r>
        <w:r w:rsidR="00E85F8F" w:rsidRPr="00BE72C0">
          <w:rPr>
            <w:webHidden/>
          </w:rPr>
          <w:fldChar w:fldCharType="separate"/>
        </w:r>
        <w:r w:rsidR="00E85F8F" w:rsidRPr="00BE72C0">
          <w:rPr>
            <w:webHidden/>
          </w:rPr>
          <w:t>3</w:t>
        </w:r>
        <w:r w:rsidR="00E85F8F" w:rsidRPr="00BE72C0">
          <w:rPr>
            <w:webHidden/>
          </w:rPr>
          <w:fldChar w:fldCharType="end"/>
        </w:r>
      </w:hyperlink>
    </w:p>
    <w:p w14:paraId="3AE78DC3" w14:textId="77777777" w:rsidR="00E85F8F" w:rsidRPr="00BE72C0" w:rsidRDefault="009F4B54">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0982" w:history="1">
        <w:r w:rsidR="00E85F8F" w:rsidRPr="00BE72C0">
          <w:rPr>
            <w:rStyle w:val="Hyperlink"/>
          </w:rPr>
          <w:t>2.</w:t>
        </w:r>
        <w:r w:rsidR="00E85F8F" w:rsidRPr="00BE72C0">
          <w:rPr>
            <w:rFonts w:asciiTheme="minorHAnsi" w:eastAsiaTheme="minorEastAsia" w:hAnsiTheme="minorHAnsi" w:cstheme="minorBidi"/>
            <w:b w:val="0"/>
            <w:bCs w:val="0"/>
            <w:caps w:val="0"/>
            <w:sz w:val="22"/>
            <w:szCs w:val="22"/>
            <w:lang w:eastAsia="zh-CN"/>
          </w:rPr>
          <w:tab/>
        </w:r>
        <w:r w:rsidR="00E85F8F" w:rsidRPr="00BE72C0">
          <w:rPr>
            <w:rStyle w:val="Hyperlink"/>
          </w:rPr>
          <w:t>Reference documents</w:t>
        </w:r>
        <w:r w:rsidR="00E85F8F" w:rsidRPr="00BE72C0">
          <w:rPr>
            <w:webHidden/>
          </w:rPr>
          <w:tab/>
        </w:r>
        <w:r w:rsidR="00E85F8F" w:rsidRPr="00BE72C0">
          <w:rPr>
            <w:webHidden/>
          </w:rPr>
          <w:fldChar w:fldCharType="begin"/>
        </w:r>
        <w:r w:rsidR="00E85F8F" w:rsidRPr="00BE72C0">
          <w:rPr>
            <w:webHidden/>
          </w:rPr>
          <w:instrText xml:space="preserve"> PAGEREF _Toc496560982 \h </w:instrText>
        </w:r>
        <w:r w:rsidR="00E85F8F" w:rsidRPr="00BE72C0">
          <w:rPr>
            <w:webHidden/>
          </w:rPr>
        </w:r>
        <w:r w:rsidR="00E85F8F" w:rsidRPr="00BE72C0">
          <w:rPr>
            <w:webHidden/>
          </w:rPr>
          <w:fldChar w:fldCharType="separate"/>
        </w:r>
        <w:r w:rsidR="00E85F8F" w:rsidRPr="00BE72C0">
          <w:rPr>
            <w:webHidden/>
          </w:rPr>
          <w:t>3</w:t>
        </w:r>
        <w:r w:rsidR="00E85F8F" w:rsidRPr="00BE72C0">
          <w:rPr>
            <w:webHidden/>
          </w:rPr>
          <w:fldChar w:fldCharType="end"/>
        </w:r>
      </w:hyperlink>
    </w:p>
    <w:p w14:paraId="60363B45" w14:textId="77777777" w:rsidR="00E85F8F" w:rsidRPr="00BE72C0" w:rsidRDefault="009F4B54">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0983" w:history="1">
        <w:r w:rsidR="00E85F8F" w:rsidRPr="00BE72C0">
          <w:rPr>
            <w:rStyle w:val="Hyperlink"/>
          </w:rPr>
          <w:t>3.</w:t>
        </w:r>
        <w:r w:rsidR="00E85F8F" w:rsidRPr="00BE72C0">
          <w:rPr>
            <w:rFonts w:asciiTheme="minorHAnsi" w:eastAsiaTheme="minorEastAsia" w:hAnsiTheme="minorHAnsi" w:cstheme="minorBidi"/>
            <w:b w:val="0"/>
            <w:bCs w:val="0"/>
            <w:caps w:val="0"/>
            <w:sz w:val="22"/>
            <w:szCs w:val="22"/>
            <w:lang w:eastAsia="zh-CN"/>
          </w:rPr>
          <w:tab/>
        </w:r>
        <w:r w:rsidR="00E85F8F" w:rsidRPr="00BE72C0">
          <w:rPr>
            <w:rStyle w:val="Hyperlink"/>
          </w:rPr>
          <w:t>Mobile computing</w:t>
        </w:r>
        <w:r w:rsidR="00E85F8F" w:rsidRPr="00BE72C0">
          <w:rPr>
            <w:webHidden/>
          </w:rPr>
          <w:tab/>
        </w:r>
        <w:r w:rsidR="00E85F8F" w:rsidRPr="00BE72C0">
          <w:rPr>
            <w:webHidden/>
          </w:rPr>
          <w:fldChar w:fldCharType="begin"/>
        </w:r>
        <w:r w:rsidR="00E85F8F" w:rsidRPr="00BE72C0">
          <w:rPr>
            <w:webHidden/>
          </w:rPr>
          <w:instrText xml:space="preserve"> PAGEREF _Toc496560983 \h </w:instrText>
        </w:r>
        <w:r w:rsidR="00E85F8F" w:rsidRPr="00BE72C0">
          <w:rPr>
            <w:webHidden/>
          </w:rPr>
        </w:r>
        <w:r w:rsidR="00E85F8F" w:rsidRPr="00BE72C0">
          <w:rPr>
            <w:webHidden/>
          </w:rPr>
          <w:fldChar w:fldCharType="separate"/>
        </w:r>
        <w:r w:rsidR="00E85F8F" w:rsidRPr="00BE72C0">
          <w:rPr>
            <w:webHidden/>
          </w:rPr>
          <w:t>3</w:t>
        </w:r>
        <w:r w:rsidR="00E85F8F" w:rsidRPr="00BE72C0">
          <w:rPr>
            <w:webHidden/>
          </w:rPr>
          <w:fldChar w:fldCharType="end"/>
        </w:r>
      </w:hyperlink>
    </w:p>
    <w:p w14:paraId="1B8CA035" w14:textId="77777777" w:rsidR="00E85F8F" w:rsidRPr="00BE72C0" w:rsidRDefault="009F4B54">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0984" w:history="1">
        <w:r w:rsidR="00E85F8F" w:rsidRPr="00BE72C0">
          <w:rPr>
            <w:rStyle w:val="Hyperlink"/>
          </w:rPr>
          <w:t>3.1.</w:t>
        </w:r>
        <w:r w:rsidR="00E85F8F" w:rsidRPr="00BE72C0">
          <w:rPr>
            <w:rFonts w:asciiTheme="minorHAnsi" w:eastAsiaTheme="minorEastAsia" w:hAnsiTheme="minorHAnsi" w:cstheme="minorBidi"/>
            <w:smallCaps w:val="0"/>
            <w:sz w:val="22"/>
            <w:szCs w:val="22"/>
            <w:lang w:eastAsia="zh-CN"/>
          </w:rPr>
          <w:tab/>
        </w:r>
        <w:r w:rsidR="00E85F8F" w:rsidRPr="00BE72C0">
          <w:rPr>
            <w:rStyle w:val="Hyperlink"/>
          </w:rPr>
          <w:t>Introduction</w:t>
        </w:r>
        <w:r w:rsidR="00E85F8F" w:rsidRPr="00BE72C0">
          <w:rPr>
            <w:webHidden/>
          </w:rPr>
          <w:tab/>
        </w:r>
        <w:r w:rsidR="00E85F8F" w:rsidRPr="00BE72C0">
          <w:rPr>
            <w:webHidden/>
          </w:rPr>
          <w:fldChar w:fldCharType="begin"/>
        </w:r>
        <w:r w:rsidR="00E85F8F" w:rsidRPr="00BE72C0">
          <w:rPr>
            <w:webHidden/>
          </w:rPr>
          <w:instrText xml:space="preserve"> PAGEREF _Toc496560984 \h </w:instrText>
        </w:r>
        <w:r w:rsidR="00E85F8F" w:rsidRPr="00BE72C0">
          <w:rPr>
            <w:webHidden/>
          </w:rPr>
        </w:r>
        <w:r w:rsidR="00E85F8F" w:rsidRPr="00BE72C0">
          <w:rPr>
            <w:webHidden/>
          </w:rPr>
          <w:fldChar w:fldCharType="separate"/>
        </w:r>
        <w:r w:rsidR="00E85F8F" w:rsidRPr="00BE72C0">
          <w:rPr>
            <w:webHidden/>
          </w:rPr>
          <w:t>3</w:t>
        </w:r>
        <w:r w:rsidR="00E85F8F" w:rsidRPr="00BE72C0">
          <w:rPr>
            <w:webHidden/>
          </w:rPr>
          <w:fldChar w:fldCharType="end"/>
        </w:r>
      </w:hyperlink>
    </w:p>
    <w:p w14:paraId="7CEAD86F" w14:textId="77777777" w:rsidR="00E85F8F" w:rsidRPr="00BE72C0" w:rsidRDefault="009F4B54">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0985" w:history="1">
        <w:r w:rsidR="00E85F8F" w:rsidRPr="00BE72C0">
          <w:rPr>
            <w:rStyle w:val="Hyperlink"/>
          </w:rPr>
          <w:t>3.2.</w:t>
        </w:r>
        <w:r w:rsidR="00E85F8F" w:rsidRPr="00BE72C0">
          <w:rPr>
            <w:rFonts w:asciiTheme="minorHAnsi" w:eastAsiaTheme="minorEastAsia" w:hAnsiTheme="minorHAnsi" w:cstheme="minorBidi"/>
            <w:smallCaps w:val="0"/>
            <w:sz w:val="22"/>
            <w:szCs w:val="22"/>
            <w:lang w:eastAsia="zh-CN"/>
          </w:rPr>
          <w:tab/>
        </w:r>
        <w:r w:rsidR="00E85F8F" w:rsidRPr="00BE72C0">
          <w:rPr>
            <w:rStyle w:val="Hyperlink"/>
          </w:rPr>
          <w:t>Basic rules</w:t>
        </w:r>
        <w:r w:rsidR="00E85F8F" w:rsidRPr="00BE72C0">
          <w:rPr>
            <w:webHidden/>
          </w:rPr>
          <w:tab/>
        </w:r>
        <w:r w:rsidR="00E85F8F" w:rsidRPr="00BE72C0">
          <w:rPr>
            <w:webHidden/>
          </w:rPr>
          <w:fldChar w:fldCharType="begin"/>
        </w:r>
        <w:r w:rsidR="00E85F8F" w:rsidRPr="00BE72C0">
          <w:rPr>
            <w:webHidden/>
          </w:rPr>
          <w:instrText xml:space="preserve"> PAGEREF _Toc496560985 \h </w:instrText>
        </w:r>
        <w:r w:rsidR="00E85F8F" w:rsidRPr="00BE72C0">
          <w:rPr>
            <w:webHidden/>
          </w:rPr>
        </w:r>
        <w:r w:rsidR="00E85F8F" w:rsidRPr="00BE72C0">
          <w:rPr>
            <w:webHidden/>
          </w:rPr>
          <w:fldChar w:fldCharType="separate"/>
        </w:r>
        <w:r w:rsidR="00E85F8F" w:rsidRPr="00BE72C0">
          <w:rPr>
            <w:webHidden/>
          </w:rPr>
          <w:t>3</w:t>
        </w:r>
        <w:r w:rsidR="00E85F8F" w:rsidRPr="00BE72C0">
          <w:rPr>
            <w:webHidden/>
          </w:rPr>
          <w:fldChar w:fldCharType="end"/>
        </w:r>
      </w:hyperlink>
    </w:p>
    <w:p w14:paraId="587E0997" w14:textId="77777777" w:rsidR="00E85F8F" w:rsidRPr="00BE72C0" w:rsidRDefault="009F4B54">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0986" w:history="1">
        <w:r w:rsidR="00E85F8F" w:rsidRPr="00BE72C0">
          <w:rPr>
            <w:rStyle w:val="Hyperlink"/>
          </w:rPr>
          <w:t>4.</w:t>
        </w:r>
        <w:r w:rsidR="00E85F8F" w:rsidRPr="00BE72C0">
          <w:rPr>
            <w:rFonts w:asciiTheme="minorHAnsi" w:eastAsiaTheme="minorEastAsia" w:hAnsiTheme="minorHAnsi" w:cstheme="minorBidi"/>
            <w:b w:val="0"/>
            <w:bCs w:val="0"/>
            <w:caps w:val="0"/>
            <w:sz w:val="22"/>
            <w:szCs w:val="22"/>
            <w:lang w:eastAsia="zh-CN"/>
          </w:rPr>
          <w:tab/>
        </w:r>
        <w:r w:rsidR="00E85F8F" w:rsidRPr="00BE72C0">
          <w:rPr>
            <w:rStyle w:val="Hyperlink"/>
          </w:rPr>
          <w:t>Teleworking</w:t>
        </w:r>
        <w:r w:rsidR="00E85F8F" w:rsidRPr="00BE72C0">
          <w:rPr>
            <w:webHidden/>
          </w:rPr>
          <w:tab/>
        </w:r>
        <w:r w:rsidR="00E85F8F" w:rsidRPr="00BE72C0">
          <w:rPr>
            <w:webHidden/>
          </w:rPr>
          <w:fldChar w:fldCharType="begin"/>
        </w:r>
        <w:r w:rsidR="00E85F8F" w:rsidRPr="00BE72C0">
          <w:rPr>
            <w:webHidden/>
          </w:rPr>
          <w:instrText xml:space="preserve"> PAGEREF _Toc496560986 \h </w:instrText>
        </w:r>
        <w:r w:rsidR="00E85F8F" w:rsidRPr="00BE72C0">
          <w:rPr>
            <w:webHidden/>
          </w:rPr>
        </w:r>
        <w:r w:rsidR="00E85F8F" w:rsidRPr="00BE72C0">
          <w:rPr>
            <w:webHidden/>
          </w:rPr>
          <w:fldChar w:fldCharType="separate"/>
        </w:r>
        <w:r w:rsidR="00E85F8F" w:rsidRPr="00BE72C0">
          <w:rPr>
            <w:webHidden/>
          </w:rPr>
          <w:t>4</w:t>
        </w:r>
        <w:r w:rsidR="00E85F8F" w:rsidRPr="00BE72C0">
          <w:rPr>
            <w:webHidden/>
          </w:rPr>
          <w:fldChar w:fldCharType="end"/>
        </w:r>
      </w:hyperlink>
    </w:p>
    <w:p w14:paraId="7642DC04" w14:textId="77777777" w:rsidR="00E85F8F" w:rsidRPr="00BE72C0" w:rsidRDefault="009F4B54">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0987" w:history="1">
        <w:r w:rsidR="00E85F8F" w:rsidRPr="00BE72C0">
          <w:rPr>
            <w:rStyle w:val="Hyperlink"/>
          </w:rPr>
          <w:t>5.</w:t>
        </w:r>
        <w:r w:rsidR="00E85F8F" w:rsidRPr="00BE72C0">
          <w:rPr>
            <w:rFonts w:asciiTheme="minorHAnsi" w:eastAsiaTheme="minorEastAsia" w:hAnsiTheme="minorHAnsi" w:cstheme="minorBidi"/>
            <w:b w:val="0"/>
            <w:bCs w:val="0"/>
            <w:caps w:val="0"/>
            <w:sz w:val="22"/>
            <w:szCs w:val="22"/>
            <w:lang w:eastAsia="zh-CN"/>
          </w:rPr>
          <w:tab/>
        </w:r>
        <w:r w:rsidR="00E85F8F" w:rsidRPr="00BE72C0">
          <w:rPr>
            <w:rStyle w:val="Hyperlink"/>
          </w:rPr>
          <w:t>Managing records kept on the basis of this document</w:t>
        </w:r>
        <w:r w:rsidR="00E85F8F" w:rsidRPr="00BE72C0">
          <w:rPr>
            <w:webHidden/>
          </w:rPr>
          <w:tab/>
        </w:r>
        <w:r w:rsidR="00E85F8F" w:rsidRPr="00BE72C0">
          <w:rPr>
            <w:webHidden/>
          </w:rPr>
          <w:fldChar w:fldCharType="begin"/>
        </w:r>
        <w:r w:rsidR="00E85F8F" w:rsidRPr="00BE72C0">
          <w:rPr>
            <w:webHidden/>
          </w:rPr>
          <w:instrText xml:space="preserve"> PAGEREF _Toc496560987 \h </w:instrText>
        </w:r>
        <w:r w:rsidR="00E85F8F" w:rsidRPr="00BE72C0">
          <w:rPr>
            <w:webHidden/>
          </w:rPr>
        </w:r>
        <w:r w:rsidR="00E85F8F" w:rsidRPr="00BE72C0">
          <w:rPr>
            <w:webHidden/>
          </w:rPr>
          <w:fldChar w:fldCharType="separate"/>
        </w:r>
        <w:r w:rsidR="00E85F8F" w:rsidRPr="00BE72C0">
          <w:rPr>
            <w:webHidden/>
          </w:rPr>
          <w:t>4</w:t>
        </w:r>
        <w:r w:rsidR="00E85F8F" w:rsidRPr="00BE72C0">
          <w:rPr>
            <w:webHidden/>
          </w:rPr>
          <w:fldChar w:fldCharType="end"/>
        </w:r>
      </w:hyperlink>
    </w:p>
    <w:p w14:paraId="7DFF7073" w14:textId="77777777" w:rsidR="00E85F8F" w:rsidRPr="00BE72C0" w:rsidRDefault="009F4B54">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0988" w:history="1">
        <w:r w:rsidR="00E85F8F" w:rsidRPr="00BE72C0">
          <w:rPr>
            <w:rStyle w:val="Hyperlink"/>
          </w:rPr>
          <w:t>6.</w:t>
        </w:r>
        <w:r w:rsidR="00E85F8F" w:rsidRPr="00BE72C0">
          <w:rPr>
            <w:rFonts w:asciiTheme="minorHAnsi" w:eastAsiaTheme="minorEastAsia" w:hAnsiTheme="minorHAnsi" w:cstheme="minorBidi"/>
            <w:b w:val="0"/>
            <w:bCs w:val="0"/>
            <w:caps w:val="0"/>
            <w:sz w:val="22"/>
            <w:szCs w:val="22"/>
            <w:lang w:eastAsia="zh-CN"/>
          </w:rPr>
          <w:tab/>
        </w:r>
        <w:r w:rsidR="00E85F8F" w:rsidRPr="00BE72C0">
          <w:rPr>
            <w:rStyle w:val="Hyperlink"/>
          </w:rPr>
          <w:t>Validity and document management</w:t>
        </w:r>
        <w:r w:rsidR="00E85F8F" w:rsidRPr="00BE72C0">
          <w:rPr>
            <w:webHidden/>
          </w:rPr>
          <w:tab/>
        </w:r>
        <w:r w:rsidR="00E85F8F" w:rsidRPr="00BE72C0">
          <w:rPr>
            <w:webHidden/>
          </w:rPr>
          <w:fldChar w:fldCharType="begin"/>
        </w:r>
        <w:r w:rsidR="00E85F8F" w:rsidRPr="00BE72C0">
          <w:rPr>
            <w:webHidden/>
          </w:rPr>
          <w:instrText xml:space="preserve"> PAGEREF _Toc496560988 \h </w:instrText>
        </w:r>
        <w:r w:rsidR="00E85F8F" w:rsidRPr="00BE72C0">
          <w:rPr>
            <w:webHidden/>
          </w:rPr>
        </w:r>
        <w:r w:rsidR="00E85F8F" w:rsidRPr="00BE72C0">
          <w:rPr>
            <w:webHidden/>
          </w:rPr>
          <w:fldChar w:fldCharType="separate"/>
        </w:r>
        <w:r w:rsidR="00E85F8F" w:rsidRPr="00BE72C0">
          <w:rPr>
            <w:webHidden/>
          </w:rPr>
          <w:t>5</w:t>
        </w:r>
        <w:r w:rsidR="00E85F8F" w:rsidRPr="00BE72C0">
          <w:rPr>
            <w:webHidden/>
          </w:rPr>
          <w:fldChar w:fldCharType="end"/>
        </w:r>
      </w:hyperlink>
    </w:p>
    <w:p w14:paraId="6A1F224D" w14:textId="77777777" w:rsidR="00E21A3C" w:rsidRPr="00BE72C0" w:rsidRDefault="00586A03">
      <w:r w:rsidRPr="00BE72C0">
        <w:fldChar w:fldCharType="end"/>
      </w:r>
    </w:p>
    <w:p w14:paraId="4773C561" w14:textId="77777777" w:rsidR="00E21A3C" w:rsidRPr="00BE72C0" w:rsidRDefault="00E21A3C">
      <w:pPr>
        <w:pStyle w:val="TOC1"/>
        <w:tabs>
          <w:tab w:val="left" w:pos="440"/>
          <w:tab w:val="right" w:leader="dot" w:pos="9062"/>
        </w:tabs>
      </w:pPr>
    </w:p>
    <w:p w14:paraId="3F67F92C" w14:textId="77777777" w:rsidR="00E21A3C" w:rsidRPr="00BE72C0" w:rsidRDefault="00E21A3C"/>
    <w:p w14:paraId="12CEEC25" w14:textId="77777777" w:rsidR="00E21A3C" w:rsidRPr="00BE72C0" w:rsidRDefault="00E21A3C"/>
    <w:p w14:paraId="27461525" w14:textId="77777777" w:rsidR="00E21A3C" w:rsidRPr="00BE72C0" w:rsidRDefault="00586A03">
      <w:r w:rsidRPr="00BE72C0">
        <w:br w:type="page"/>
      </w:r>
    </w:p>
    <w:p w14:paraId="46A5EDC7" w14:textId="77777777" w:rsidR="00E21A3C" w:rsidRPr="00BE72C0" w:rsidRDefault="00586A03">
      <w:pPr>
        <w:pStyle w:val="Heading1"/>
        <w:numPr>
          <w:ilvl w:val="0"/>
          <w:numId w:val="2"/>
        </w:numPr>
      </w:pPr>
      <w:bookmarkStart w:id="4" w:name="_Toc265755049"/>
      <w:bookmarkStart w:id="5" w:name="_Toc496560981"/>
      <w:bookmarkEnd w:id="4"/>
      <w:r w:rsidRPr="00BE72C0">
        <w:lastRenderedPageBreak/>
        <w:t>Purpose, scope and users</w:t>
      </w:r>
      <w:bookmarkEnd w:id="5"/>
    </w:p>
    <w:p w14:paraId="1C996129" w14:textId="11028FE3" w:rsidR="00E21A3C" w:rsidRPr="00BE72C0" w:rsidRDefault="00586A03" w:rsidP="00E85F8F">
      <w:pPr>
        <w:spacing w:line="240" w:lineRule="auto"/>
      </w:pPr>
      <w:r w:rsidRPr="00BE72C0">
        <w:t>The purpose of this document is to prevent unauthorized access to mobile devices both within and outside of the organization's premises.</w:t>
      </w:r>
    </w:p>
    <w:p w14:paraId="433128B4" w14:textId="77777777" w:rsidR="00E21A3C" w:rsidRPr="00BE72C0" w:rsidRDefault="00586A03">
      <w:r w:rsidRPr="00BE72C0">
        <w:t>Users of this document are all employees of [organization name].</w:t>
      </w:r>
    </w:p>
    <w:p w14:paraId="4FF34DD1" w14:textId="77777777" w:rsidR="00E21A3C" w:rsidRPr="00BE72C0" w:rsidRDefault="00E21A3C"/>
    <w:p w14:paraId="43FD2F41" w14:textId="77777777" w:rsidR="00E21A3C" w:rsidRPr="00BE72C0" w:rsidRDefault="00586A03">
      <w:pPr>
        <w:pStyle w:val="Heading1"/>
        <w:numPr>
          <w:ilvl w:val="0"/>
          <w:numId w:val="2"/>
        </w:numPr>
      </w:pPr>
      <w:bookmarkStart w:id="6" w:name="_Toc265755050"/>
      <w:bookmarkStart w:id="7" w:name="_Toc496560982"/>
      <w:bookmarkEnd w:id="6"/>
      <w:r w:rsidRPr="00BE72C0">
        <w:t>Reference documents</w:t>
      </w:r>
      <w:bookmarkEnd w:id="7"/>
    </w:p>
    <w:p w14:paraId="630AB2C4" w14:textId="36321E1E" w:rsidR="00E21A3C" w:rsidRPr="00BE72C0" w:rsidRDefault="00586A03">
      <w:pPr>
        <w:numPr>
          <w:ilvl w:val="0"/>
          <w:numId w:val="4"/>
        </w:numPr>
        <w:spacing w:after="0"/>
      </w:pPr>
      <w:r w:rsidRPr="00BE72C0">
        <w:t>ISO/IEC 27001 standard</w:t>
      </w:r>
    </w:p>
    <w:p w14:paraId="2C790775" w14:textId="70C9A411" w:rsidR="00E21A3C" w:rsidRPr="00BE72C0" w:rsidRDefault="00586A03">
      <w:pPr>
        <w:numPr>
          <w:ilvl w:val="0"/>
          <w:numId w:val="4"/>
        </w:numPr>
        <w:spacing w:after="0"/>
      </w:pPr>
      <w:r w:rsidRPr="00BE72C0">
        <w:t>IT Security Policy</w:t>
      </w:r>
    </w:p>
    <w:p w14:paraId="763FF65F" w14:textId="27037A68" w:rsidR="00E21A3C" w:rsidRPr="00BE72C0" w:rsidRDefault="00586A03" w:rsidP="00E85F8F">
      <w:pPr>
        <w:numPr>
          <w:ilvl w:val="0"/>
          <w:numId w:val="4"/>
        </w:numPr>
        <w:spacing w:after="0"/>
      </w:pPr>
      <w:r w:rsidRPr="00BE72C0">
        <w:t>[Information Classification Policy]</w:t>
      </w:r>
    </w:p>
    <w:p w14:paraId="0EDB855D" w14:textId="77777777" w:rsidR="00E21A3C" w:rsidRPr="00BE72C0" w:rsidRDefault="00E21A3C"/>
    <w:p w14:paraId="1697F52A" w14:textId="77777777" w:rsidR="00E21A3C" w:rsidRPr="00BE72C0" w:rsidRDefault="00586A03">
      <w:pPr>
        <w:pStyle w:val="Heading1"/>
        <w:numPr>
          <w:ilvl w:val="0"/>
          <w:numId w:val="2"/>
        </w:numPr>
      </w:pPr>
      <w:bookmarkStart w:id="8" w:name="_Toc265755051"/>
      <w:bookmarkStart w:id="9" w:name="_Toc496560983"/>
      <w:bookmarkEnd w:id="8"/>
      <w:r w:rsidRPr="00BE72C0">
        <w:t>Mobile computing</w:t>
      </w:r>
      <w:bookmarkEnd w:id="9"/>
    </w:p>
    <w:p w14:paraId="5EA4FE75" w14:textId="77777777" w:rsidR="00E21A3C" w:rsidRPr="00BE72C0" w:rsidRDefault="00586A03">
      <w:pPr>
        <w:pStyle w:val="Heading2"/>
        <w:numPr>
          <w:ilvl w:val="1"/>
          <w:numId w:val="2"/>
        </w:numPr>
      </w:pPr>
      <w:bookmarkStart w:id="10" w:name="_Toc265755052"/>
      <w:bookmarkStart w:id="11" w:name="_Toc496560984"/>
      <w:bookmarkEnd w:id="10"/>
      <w:r w:rsidRPr="00BE72C0">
        <w:t>Introduction</w:t>
      </w:r>
      <w:bookmarkEnd w:id="11"/>
    </w:p>
    <w:p w14:paraId="7AC2C32A" w14:textId="77777777" w:rsidR="00E21A3C" w:rsidRPr="00BE72C0" w:rsidRDefault="00586A03">
      <w:r w:rsidRPr="00BE72C0">
        <w:t>Mobile computing equipment includes all kinds of portable computers, mobile phones, smart phones, memory cards and other mobile equipment used for storage, processing and transferring of data.</w:t>
      </w:r>
    </w:p>
    <w:p w14:paraId="1CC61B58" w14:textId="0348C518" w:rsidR="00E21A3C" w:rsidRPr="00BE72C0" w:rsidRDefault="00586A03">
      <w:r w:rsidRPr="00BE72C0">
        <w:t xml:space="preserve">The abovementioned equipment may be taken off-premises only after obtaining authorization in accordance with the IT Security Policy. </w:t>
      </w:r>
    </w:p>
    <w:p w14:paraId="7713C6D2" w14:textId="77777777" w:rsidR="00E21A3C" w:rsidRPr="00BE72C0" w:rsidRDefault="00586A03">
      <w:pPr>
        <w:pStyle w:val="Heading2"/>
        <w:numPr>
          <w:ilvl w:val="1"/>
          <w:numId w:val="2"/>
        </w:numPr>
      </w:pPr>
      <w:bookmarkStart w:id="12" w:name="_Toc265755053"/>
      <w:bookmarkStart w:id="13" w:name="_Toc496560985"/>
      <w:bookmarkEnd w:id="12"/>
      <w:r w:rsidRPr="00BE72C0">
        <w:t>Basic rules</w:t>
      </w:r>
      <w:bookmarkEnd w:id="13"/>
    </w:p>
    <w:p w14:paraId="4CBF6DE9" w14:textId="57E55E15" w:rsidR="00E21A3C" w:rsidRPr="00BE72C0" w:rsidRDefault="00586A03">
      <w:r w:rsidRPr="00BE72C0">
        <w:t xml:space="preserve">Special care should be taken when mobile computing equipment is placed in vehicles (including cars), public spaces, hotel rooms, meeting places, conference </w:t>
      </w:r>
      <w:r w:rsidR="00BE72C0" w:rsidRPr="00BE72C0">
        <w:t>centres</w:t>
      </w:r>
      <w:r w:rsidRPr="00BE72C0">
        <w:t>, and other unprotected areas outside the organization's premises.</w:t>
      </w:r>
    </w:p>
    <w:p w14:paraId="66E854CA" w14:textId="77777777" w:rsidR="00E21A3C" w:rsidRPr="00BE72C0" w:rsidRDefault="00586A03">
      <w:r w:rsidRPr="00BE72C0">
        <w:t xml:space="preserve">The person taking mobile computing equipment off-premises must follow these rules: </w:t>
      </w:r>
    </w:p>
    <w:p w14:paraId="7A09BEB8" w14:textId="77777777" w:rsidR="00E21A3C" w:rsidRPr="00BE72C0" w:rsidRDefault="00586A03">
      <w:pPr>
        <w:numPr>
          <w:ilvl w:val="0"/>
          <w:numId w:val="5"/>
        </w:numPr>
        <w:spacing w:after="0" w:line="240" w:lineRule="auto"/>
      </w:pPr>
      <w:r w:rsidRPr="00BE72C0">
        <w:t>mobile computing equipment carrying important, sensitive or critical information must not be left unattended and, if possible, should be physically locked away, or special locks should be used to secure the equipment</w:t>
      </w:r>
    </w:p>
    <w:p w14:paraId="57B4329F" w14:textId="77777777" w:rsidR="00BE72C0" w:rsidRPr="00BE72C0" w:rsidRDefault="00BE72C0" w:rsidP="00BE72C0">
      <w:pPr>
        <w:spacing w:after="0" w:line="240" w:lineRule="auto"/>
      </w:pPr>
    </w:p>
    <w:p w14:paraId="3706D13C" w14:textId="77777777" w:rsidR="00BE72C0" w:rsidRPr="00BE72C0" w:rsidRDefault="00BE72C0" w:rsidP="00BE72C0">
      <w:pPr>
        <w:spacing w:after="0" w:line="240" w:lineRule="auto"/>
      </w:pPr>
      <w:bookmarkStart w:id="14" w:name="_GoBack"/>
      <w:bookmarkEnd w:id="14"/>
    </w:p>
    <w:p w14:paraId="15572060" w14:textId="77777777" w:rsidR="00BE72C0" w:rsidRPr="00BE72C0" w:rsidRDefault="00BE72C0" w:rsidP="00BE72C0">
      <w:pPr>
        <w:spacing w:after="0" w:line="240" w:lineRule="auto"/>
      </w:pPr>
    </w:p>
    <w:p w14:paraId="759F0654" w14:textId="77777777" w:rsidR="00BE72C0" w:rsidRPr="00BE72C0" w:rsidRDefault="00BE72C0" w:rsidP="00BE72C0">
      <w:pPr>
        <w:jc w:val="center"/>
      </w:pPr>
      <w:r w:rsidRPr="00BE72C0">
        <w:t>** END OF FREE PREVIEW **</w:t>
      </w:r>
    </w:p>
    <w:p w14:paraId="4A81C70F" w14:textId="614BC9A1" w:rsidR="00BE72C0" w:rsidRPr="00BE72C0" w:rsidRDefault="00BE72C0" w:rsidP="00BE72C0">
      <w:pPr>
        <w:spacing w:after="0" w:line="240" w:lineRule="auto"/>
        <w:jc w:val="center"/>
      </w:pPr>
      <w:r w:rsidRPr="00BE72C0">
        <w:t xml:space="preserve">To download full version of this document click here: </w:t>
      </w:r>
      <w:hyperlink r:id="rId10" w:history="1">
        <w:r w:rsidRPr="00BE72C0">
          <w:rPr>
            <w:rStyle w:val="Hyperlink"/>
          </w:rPr>
          <w:t>https://advisera.com/eugdpracademy/documentation/mobile-device-and-teleworking-policy/</w:t>
        </w:r>
      </w:hyperlink>
      <w:r w:rsidRPr="00BE72C0">
        <w:t xml:space="preserve"> </w:t>
      </w:r>
    </w:p>
    <w:sectPr w:rsidR="00BE72C0" w:rsidRPr="00BE72C0">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22:22:00Z" w:initials="EUGDPR">
    <w:p w14:paraId="46CB354C" w14:textId="3DB76D23" w:rsidR="00E85F8F" w:rsidRPr="00E85F8F" w:rsidRDefault="00E85F8F" w:rsidP="00E85F8F">
      <w:pPr>
        <w:rPr>
          <w:rFonts w:cs="Calibri"/>
          <w:sz w:val="20"/>
          <w:szCs w:val="20"/>
        </w:rPr>
      </w:pPr>
      <w:r w:rsidRPr="00E85F8F">
        <w:rPr>
          <w:rStyle w:val="CommentReference"/>
          <w:rFonts w:cs="Calibri"/>
          <w:sz w:val="20"/>
          <w:szCs w:val="20"/>
        </w:rPr>
        <w:annotationRef/>
      </w:r>
      <w:r w:rsidRPr="00E85F8F">
        <w:rPr>
          <w:rFonts w:eastAsia="DejaVu Sans" w:cs="Calibri"/>
          <w:sz w:val="20"/>
          <w:szCs w:val="20"/>
          <w:lang w:bidi="en-US"/>
        </w:rPr>
        <w:t>All fields in this document marked by square brackets [ ] must be filled in.</w:t>
      </w:r>
    </w:p>
  </w:comment>
  <w:comment w:id="1" w:author="EUGDPRAcademy" w:date="2017-10-23T22:20:00Z" w:initials="EUGDPR">
    <w:p w14:paraId="74EFD10D" w14:textId="77777777" w:rsidR="00E85F8F" w:rsidRPr="00E85F8F" w:rsidRDefault="00E85F8F">
      <w:pPr>
        <w:pStyle w:val="CommentText"/>
      </w:pPr>
      <w:r w:rsidRPr="00E85F8F">
        <w:rPr>
          <w:rStyle w:val="CommentReference"/>
          <w:sz w:val="20"/>
          <w:szCs w:val="20"/>
        </w:rPr>
        <w:annotationRef/>
      </w:r>
      <w:r w:rsidRPr="00E85F8F">
        <w:rPr>
          <w:rStyle w:val="CommentReference"/>
          <w:sz w:val="20"/>
          <w:szCs w:val="20"/>
        </w:rPr>
        <w:annotationRef/>
      </w:r>
      <w:r w:rsidRPr="00E85F8F">
        <w:t xml:space="preserve">Learn more here: </w:t>
      </w:r>
    </w:p>
    <w:p w14:paraId="7156991E" w14:textId="77777777" w:rsidR="00E85F8F" w:rsidRPr="00E85F8F" w:rsidRDefault="00E85F8F">
      <w:pPr>
        <w:pStyle w:val="CommentText"/>
      </w:pPr>
    </w:p>
    <w:p w14:paraId="2A053363" w14:textId="2F33CD45" w:rsidR="00E85F8F" w:rsidRPr="00E85F8F" w:rsidRDefault="00E85F8F">
      <w:pPr>
        <w:pStyle w:val="CommentText"/>
      </w:pPr>
      <w:r w:rsidRPr="00E85F8F">
        <w:t xml:space="preserve">How to apply information security controls in teleworking according to ISO 27001 </w:t>
      </w:r>
      <w:hyperlink r:id="rId1" w:history="1">
        <w:r w:rsidRPr="00E85F8F">
          <w:rPr>
            <w:rStyle w:val="Hyperlink"/>
          </w:rPr>
          <w:t>https://advisera.com/27001academy/blog/2017/03/22/how-to-apply-information-security-controls-in-teleworking-according-to-iso-27001/</w:t>
        </w:r>
      </w:hyperlink>
      <w:r w:rsidRPr="00E85F8F">
        <w:t xml:space="preserve"> </w:t>
      </w:r>
    </w:p>
  </w:comment>
  <w:comment w:id="2" w:author="EUGDPRAcademy" w:date="2017-10-23T22:22:00Z" w:initials="EUGDPR">
    <w:p w14:paraId="7295B15A" w14:textId="37168F9D" w:rsidR="00E85F8F" w:rsidRPr="00E85F8F" w:rsidRDefault="00E85F8F" w:rsidP="00E85F8F">
      <w:pPr>
        <w:rPr>
          <w:rFonts w:cs="Calibri"/>
          <w:sz w:val="20"/>
          <w:szCs w:val="20"/>
        </w:rPr>
      </w:pPr>
      <w:r w:rsidRPr="00E85F8F">
        <w:rPr>
          <w:rStyle w:val="CommentReference"/>
          <w:rFonts w:cs="Calibri"/>
          <w:sz w:val="20"/>
          <w:szCs w:val="20"/>
        </w:rPr>
        <w:annotationRef/>
      </w:r>
      <w:r w:rsidRPr="00E85F8F">
        <w:rPr>
          <w:rFonts w:eastAsia="DejaVu Sans" w:cs="Calibri"/>
          <w:sz w:val="20"/>
          <w:szCs w:val="20"/>
          <w:lang w:bidi="en-US"/>
        </w:rPr>
        <w:t>This Policy need not constitute a separate document if the same rules are prescribed by the Acceptable Use Policy.</w:t>
      </w:r>
    </w:p>
  </w:comment>
  <w:comment w:id="3" w:author="EUGDPRAcademy" w:date="2017-10-23T22:23:00Z" w:initials="EUGDPR">
    <w:p w14:paraId="4EAC6C22" w14:textId="41737579" w:rsidR="00E85F8F" w:rsidRPr="00E85F8F" w:rsidRDefault="00E85F8F" w:rsidP="00E85F8F">
      <w:pPr>
        <w:rPr>
          <w:rFonts w:cs="Calibri"/>
          <w:sz w:val="20"/>
          <w:szCs w:val="20"/>
        </w:rPr>
      </w:pPr>
      <w:r w:rsidRPr="00E85F8F">
        <w:rPr>
          <w:rStyle w:val="CommentReference"/>
          <w:rFonts w:cs="Calibri"/>
          <w:sz w:val="20"/>
          <w:szCs w:val="20"/>
        </w:rPr>
        <w:annotationRef/>
      </w:r>
      <w:r w:rsidRPr="00E85F8F">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CB354C" w15:done="0"/>
  <w15:commentEx w15:paraId="2A053363" w15:done="0"/>
  <w15:commentEx w15:paraId="7295B15A" w15:done="0"/>
  <w15:commentEx w15:paraId="4EAC6C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6605B" w14:textId="77777777" w:rsidR="009F4B54" w:rsidRDefault="009F4B54">
      <w:pPr>
        <w:spacing w:after="0" w:line="240" w:lineRule="auto"/>
      </w:pPr>
      <w:r>
        <w:separator/>
      </w:r>
    </w:p>
  </w:endnote>
  <w:endnote w:type="continuationSeparator" w:id="0">
    <w:p w14:paraId="644BC5AA" w14:textId="77777777" w:rsidR="009F4B54" w:rsidRDefault="009F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268"/>
      <w:gridCol w:w="3402"/>
    </w:tblGrid>
    <w:tr w:rsidR="00E21A3C" w:rsidRPr="00E85F8F" w14:paraId="2DC2FDD8" w14:textId="77777777" w:rsidTr="00E85F8F">
      <w:tc>
        <w:tcPr>
          <w:tcW w:w="3652" w:type="dxa"/>
          <w:shd w:val="clear" w:color="auto" w:fill="auto"/>
        </w:tcPr>
        <w:p w14:paraId="29CEA539" w14:textId="77777777" w:rsidR="00E21A3C" w:rsidRPr="00E85F8F" w:rsidRDefault="00586A03">
          <w:pPr>
            <w:pStyle w:val="Footer"/>
            <w:rPr>
              <w:sz w:val="18"/>
              <w:szCs w:val="18"/>
            </w:rPr>
          </w:pPr>
          <w:r w:rsidRPr="00E85F8F">
            <w:rPr>
              <w:sz w:val="18"/>
              <w:szCs w:val="18"/>
            </w:rPr>
            <w:t>Mobile Device and Teleworking Policy</w:t>
          </w:r>
        </w:p>
      </w:tc>
      <w:tc>
        <w:tcPr>
          <w:tcW w:w="2268" w:type="dxa"/>
          <w:shd w:val="clear" w:color="auto" w:fill="auto"/>
        </w:tcPr>
        <w:p w14:paraId="77A53CE4" w14:textId="77777777" w:rsidR="00E21A3C" w:rsidRPr="00E85F8F" w:rsidRDefault="00586A03">
          <w:pPr>
            <w:pStyle w:val="Footer"/>
            <w:jc w:val="center"/>
            <w:rPr>
              <w:sz w:val="18"/>
              <w:szCs w:val="18"/>
            </w:rPr>
          </w:pPr>
          <w:r w:rsidRPr="00E85F8F">
            <w:rPr>
              <w:sz w:val="18"/>
              <w:szCs w:val="18"/>
            </w:rPr>
            <w:t>ver [version] from [date]</w:t>
          </w:r>
        </w:p>
      </w:tc>
      <w:tc>
        <w:tcPr>
          <w:tcW w:w="3402" w:type="dxa"/>
          <w:shd w:val="clear" w:color="auto" w:fill="auto"/>
        </w:tcPr>
        <w:p w14:paraId="191DF815" w14:textId="77777777" w:rsidR="00E21A3C" w:rsidRPr="00E85F8F" w:rsidRDefault="00586A03">
          <w:pPr>
            <w:pStyle w:val="Footer"/>
            <w:jc w:val="right"/>
            <w:rPr>
              <w:sz w:val="18"/>
              <w:szCs w:val="18"/>
            </w:rPr>
          </w:pPr>
          <w:r w:rsidRPr="00E85F8F">
            <w:rPr>
              <w:sz w:val="18"/>
              <w:szCs w:val="18"/>
            </w:rPr>
            <w:t xml:space="preserve">Page </w:t>
          </w:r>
          <w:r w:rsidRPr="00E85F8F">
            <w:rPr>
              <w:b/>
              <w:sz w:val="18"/>
              <w:szCs w:val="18"/>
            </w:rPr>
            <w:fldChar w:fldCharType="begin"/>
          </w:r>
          <w:r w:rsidRPr="00E85F8F">
            <w:rPr>
              <w:sz w:val="18"/>
              <w:szCs w:val="18"/>
            </w:rPr>
            <w:instrText>PAGE</w:instrText>
          </w:r>
          <w:r w:rsidRPr="00E85F8F">
            <w:rPr>
              <w:sz w:val="18"/>
              <w:szCs w:val="18"/>
            </w:rPr>
            <w:fldChar w:fldCharType="separate"/>
          </w:r>
          <w:r w:rsidR="00BE72C0">
            <w:rPr>
              <w:noProof/>
              <w:sz w:val="18"/>
              <w:szCs w:val="18"/>
            </w:rPr>
            <w:t>3</w:t>
          </w:r>
          <w:r w:rsidRPr="00E85F8F">
            <w:rPr>
              <w:sz w:val="18"/>
              <w:szCs w:val="18"/>
            </w:rPr>
            <w:fldChar w:fldCharType="end"/>
          </w:r>
          <w:r w:rsidRPr="00E85F8F">
            <w:rPr>
              <w:sz w:val="18"/>
              <w:szCs w:val="18"/>
            </w:rPr>
            <w:t xml:space="preserve"> of </w:t>
          </w:r>
          <w:r w:rsidRPr="00E85F8F">
            <w:rPr>
              <w:b/>
              <w:sz w:val="18"/>
              <w:szCs w:val="18"/>
            </w:rPr>
            <w:fldChar w:fldCharType="begin"/>
          </w:r>
          <w:r w:rsidRPr="00E85F8F">
            <w:rPr>
              <w:sz w:val="18"/>
              <w:szCs w:val="18"/>
            </w:rPr>
            <w:instrText>NUMPAGES</w:instrText>
          </w:r>
          <w:r w:rsidRPr="00E85F8F">
            <w:rPr>
              <w:sz w:val="18"/>
              <w:szCs w:val="18"/>
            </w:rPr>
            <w:fldChar w:fldCharType="separate"/>
          </w:r>
          <w:r w:rsidR="00BE72C0">
            <w:rPr>
              <w:noProof/>
              <w:sz w:val="18"/>
              <w:szCs w:val="18"/>
            </w:rPr>
            <w:t>3</w:t>
          </w:r>
          <w:r w:rsidRPr="00E85F8F">
            <w:rPr>
              <w:sz w:val="18"/>
              <w:szCs w:val="18"/>
            </w:rPr>
            <w:fldChar w:fldCharType="end"/>
          </w:r>
        </w:p>
      </w:tc>
    </w:tr>
  </w:tbl>
  <w:p w14:paraId="2C91147F" w14:textId="2D5E2D74" w:rsidR="00E21A3C" w:rsidRDefault="00586A03">
    <w:pPr>
      <w:spacing w:after="0"/>
      <w:jc w:val="center"/>
      <w:rPr>
        <w:sz w:val="16"/>
        <w:szCs w:val="16"/>
      </w:rPr>
    </w:pPr>
    <w:r>
      <w:rPr>
        <w:sz w:val="16"/>
      </w:rPr>
      <w:t>©2017 This template may be used by clients of Advisera Expert Solutions Ltd</w:t>
    </w:r>
    <w:r w:rsidR="00E85F8F">
      <w:rPr>
        <w:sz w:val="16"/>
      </w:rPr>
      <w:t>.</w:t>
    </w:r>
    <w:r>
      <w:rPr>
        <w:sz w:val="16"/>
      </w:rPr>
      <w:t xml:space="preserve">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74B99" w14:textId="507DC97B" w:rsidR="00E21A3C" w:rsidRDefault="00586A03">
    <w:pPr>
      <w:spacing w:after="0"/>
      <w:jc w:val="center"/>
      <w:rPr>
        <w:sz w:val="16"/>
        <w:szCs w:val="16"/>
      </w:rPr>
    </w:pPr>
    <w:r>
      <w:rPr>
        <w:sz w:val="16"/>
      </w:rPr>
      <w:t>©2017 This template may be used by clients of Advisera Expert Solutions Ltd</w:t>
    </w:r>
    <w:r w:rsidR="00E85F8F">
      <w:rPr>
        <w:sz w:val="16"/>
      </w:rPr>
      <w:t>.</w:t>
    </w:r>
    <w:r>
      <w:rPr>
        <w:sz w:val="16"/>
      </w:rPr>
      <w:t xml:space="preserve">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6345C" w14:textId="77777777" w:rsidR="009F4B54" w:rsidRDefault="009F4B54">
      <w:pPr>
        <w:spacing w:after="0" w:line="240" w:lineRule="auto"/>
      </w:pPr>
      <w:r>
        <w:separator/>
      </w:r>
    </w:p>
  </w:footnote>
  <w:footnote w:type="continuationSeparator" w:id="0">
    <w:p w14:paraId="32954A73" w14:textId="77777777" w:rsidR="009F4B54" w:rsidRDefault="009F4B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E21A3C" w14:paraId="265633A1" w14:textId="77777777" w:rsidTr="00E85F8F">
      <w:tc>
        <w:tcPr>
          <w:tcW w:w="6770" w:type="dxa"/>
          <w:shd w:val="clear" w:color="auto" w:fill="auto"/>
        </w:tcPr>
        <w:p w14:paraId="38E367DB" w14:textId="77777777" w:rsidR="00E21A3C" w:rsidRDefault="00586A03">
          <w:pPr>
            <w:pStyle w:val="Header"/>
            <w:spacing w:after="0"/>
            <w:rPr>
              <w:sz w:val="20"/>
              <w:szCs w:val="20"/>
            </w:rPr>
          </w:pPr>
          <w:r>
            <w:rPr>
              <w:sz w:val="20"/>
            </w:rPr>
            <w:t xml:space="preserve"> [organization name]</w:t>
          </w:r>
        </w:p>
      </w:tc>
      <w:tc>
        <w:tcPr>
          <w:tcW w:w="2517" w:type="dxa"/>
          <w:shd w:val="clear" w:color="auto" w:fill="auto"/>
        </w:tcPr>
        <w:p w14:paraId="071406D1" w14:textId="77777777" w:rsidR="00E21A3C" w:rsidRDefault="00586A03">
          <w:pPr>
            <w:pStyle w:val="Header"/>
            <w:spacing w:after="0"/>
            <w:jc w:val="right"/>
            <w:rPr>
              <w:sz w:val="20"/>
              <w:szCs w:val="20"/>
            </w:rPr>
          </w:pPr>
          <w:r>
            <w:rPr>
              <w:sz w:val="20"/>
            </w:rPr>
            <w:t>[confidentiality level]</w:t>
          </w:r>
        </w:p>
      </w:tc>
    </w:tr>
  </w:tbl>
  <w:p w14:paraId="540767B3" w14:textId="77777777" w:rsidR="00E21A3C" w:rsidRDefault="00E21A3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E620F"/>
    <w:multiLevelType w:val="multilevel"/>
    <w:tmpl w:val="3C34E4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252245D"/>
    <w:multiLevelType w:val="multilevel"/>
    <w:tmpl w:val="9212642E"/>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1035A84"/>
    <w:multiLevelType w:val="multilevel"/>
    <w:tmpl w:val="9AE258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4830838"/>
    <w:multiLevelType w:val="multilevel"/>
    <w:tmpl w:val="E86647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E37515C"/>
    <w:multiLevelType w:val="multilevel"/>
    <w:tmpl w:val="D6785B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46A2E5A"/>
    <w:multiLevelType w:val="multilevel"/>
    <w:tmpl w:val="D398E67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1A3C"/>
    <w:rsid w:val="004A3DC4"/>
    <w:rsid w:val="00586A03"/>
    <w:rsid w:val="00825F0F"/>
    <w:rsid w:val="009F4B54"/>
    <w:rsid w:val="00BE72C0"/>
    <w:rsid w:val="00E21A3C"/>
    <w:rsid w:val="00E85F8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E1E8B"/>
  <w15:docId w15:val="{7F684B78-B1E1-4E4F-A573-60E72F8A6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Calibri" w:cs="Calibri"/>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7735A0"/>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4A3DC4"/>
    <w:rPr>
      <w:color w:val="0000FF" w:themeColor="hyperlink"/>
      <w:u w:val="single"/>
    </w:rPr>
  </w:style>
  <w:style w:type="character" w:customStyle="1" w:styleId="UnresolvedMention">
    <w:name w:val="Unresolved Mention"/>
    <w:basedOn w:val="DefaultParagraphFont"/>
    <w:uiPriority w:val="99"/>
    <w:semiHidden/>
    <w:unhideWhenUsed/>
    <w:rsid w:val="004A3DC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3/22/how-to-apply-information-security-controls-in-teleworking-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mobile-device-and-teleworking-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5AB04E6-6D04-402B-B316-0D3197C1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Mobile Device and Teleworking Policy</vt:lpstr>
    </vt:vector>
  </TitlesOfParts>
  <Company>Advisera Expert Solutions Ltd</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Device and Teleworking Policy</dc:title>
  <dc:subject/>
  <dc:creator>EUGDPRAcademy</dc:creator>
  <dc:description>©2017 This template may be used by clients of Advisera Expert Solutions Ltd. in accordance with the License Agreement.</dc:description>
  <cp:lastModifiedBy>EUGDPRAcademy</cp:lastModifiedBy>
  <cp:revision>11</cp:revision>
  <dcterms:created xsi:type="dcterms:W3CDTF">2015-03-28T18:00:00Z</dcterms:created>
  <dcterms:modified xsi:type="dcterms:W3CDTF">2017-10-24T20:52:00Z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