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5DBC" w14:textId="3276C5D5" w:rsidR="009253A3" w:rsidRPr="00C74B1F" w:rsidRDefault="000367AB">
      <w:pPr>
        <w:jc w:val="center"/>
      </w:pPr>
      <w:commentRangeStart w:id="0"/>
      <w:commentRangeEnd w:id="0"/>
      <w:r w:rsidRPr="00C74B1F">
        <w:rPr>
          <w:rStyle w:val="CommentReference"/>
        </w:rPr>
        <w:commentReference w:id="0"/>
      </w:r>
    </w:p>
    <w:p w14:paraId="14EBE77E" w14:textId="77777777" w:rsidR="009253A3" w:rsidRPr="00C74B1F" w:rsidRDefault="009B7E75">
      <w:pPr>
        <w:jc w:val="center"/>
        <w:rPr>
          <w:sz w:val="28"/>
          <w:szCs w:val="28"/>
        </w:rPr>
      </w:pPr>
      <w:commentRangeStart w:id="1"/>
      <w:r w:rsidRPr="00C74B1F">
        <w:rPr>
          <w:b/>
          <w:sz w:val="28"/>
          <w:szCs w:val="28"/>
        </w:rPr>
        <w:t>SUPPLIER DATA PROCESSING AGREEMENT</w:t>
      </w:r>
      <w:commentRangeEnd w:id="1"/>
      <w:r w:rsidR="00091C8D" w:rsidRPr="00C74B1F">
        <w:rPr>
          <w:rStyle w:val="CommentReference"/>
          <w:sz w:val="28"/>
          <w:szCs w:val="28"/>
        </w:rPr>
        <w:commentReference w:id="1"/>
      </w:r>
    </w:p>
    <w:p w14:paraId="5429858A" w14:textId="77777777" w:rsidR="009D1E9C" w:rsidRDefault="009D1E9C" w:rsidP="009D1E9C">
      <w:pPr>
        <w:jc w:val="center"/>
        <w:rPr>
          <w:rFonts w:asciiTheme="minorHAnsi" w:hAnsiTheme="minorHAnsi" w:cstheme="minorHAnsi"/>
          <w:color w:val="auto"/>
        </w:rPr>
      </w:pPr>
      <w:r>
        <w:rPr>
          <w:rFonts w:asciiTheme="minorHAnsi" w:hAnsiTheme="minorHAnsi" w:cstheme="minorHAnsi"/>
        </w:rPr>
        <w:t>** FREE PREVIEW VERSION **</w:t>
      </w:r>
    </w:p>
    <w:p w14:paraId="06567130" w14:textId="77777777" w:rsidR="009253A3" w:rsidRPr="00C74B1F" w:rsidRDefault="009253A3"/>
    <w:p w14:paraId="3D40EA32" w14:textId="317DFF3B" w:rsidR="009253A3" w:rsidRPr="00C74B1F" w:rsidRDefault="009B7E75">
      <w:pPr>
        <w:rPr>
          <w:b/>
        </w:rPr>
      </w:pPr>
      <w:r w:rsidRPr="00C74B1F">
        <w:t>This Data Protection Agreement ("</w:t>
      </w:r>
      <w:r w:rsidRPr="00C74B1F">
        <w:rPr>
          <w:b/>
        </w:rPr>
        <w:t>Agreement</w:t>
      </w:r>
      <w:r w:rsidRPr="00C74B1F">
        <w:t>"), dated _______________ ("</w:t>
      </w:r>
      <w:r w:rsidRPr="00C74B1F">
        <w:rPr>
          <w:b/>
        </w:rPr>
        <w:t>Agreement Effective Date</w:t>
      </w:r>
      <w:r w:rsidRPr="00C74B1F">
        <w:t xml:space="preserve">") forms part of the </w:t>
      </w:r>
      <w:commentRangeStart w:id="2"/>
      <w:r w:rsidRPr="00C74B1F">
        <w:t>______</w:t>
      </w:r>
      <w:r w:rsidR="00091C8D" w:rsidRPr="00C74B1F">
        <w:t>_________</w:t>
      </w:r>
      <w:r w:rsidRPr="00C74B1F">
        <w:t>_______________</w:t>
      </w:r>
      <w:commentRangeEnd w:id="2"/>
      <w:r w:rsidR="00091C8D" w:rsidRPr="00C74B1F">
        <w:rPr>
          <w:rStyle w:val="CommentReference"/>
        </w:rPr>
        <w:commentReference w:id="2"/>
      </w:r>
      <w:r w:rsidRPr="00C74B1F">
        <w:t xml:space="preserve"> ("</w:t>
      </w:r>
      <w:commentRangeStart w:id="3"/>
      <w:r w:rsidRPr="00C74B1F">
        <w:rPr>
          <w:b/>
        </w:rPr>
        <w:t>Principal Agreement</w:t>
      </w:r>
      <w:commentRangeEnd w:id="3"/>
      <w:r w:rsidR="00091C8D" w:rsidRPr="00C74B1F">
        <w:rPr>
          <w:rStyle w:val="CommentReference"/>
        </w:rPr>
        <w:commentReference w:id="3"/>
      </w:r>
      <w:r w:rsidRPr="00C74B1F">
        <w:t>") between:</w:t>
      </w:r>
    </w:p>
    <w:p w14:paraId="7E655CFF" w14:textId="77777777" w:rsidR="009253A3" w:rsidRPr="00C74B1F" w:rsidRDefault="009253A3"/>
    <w:p w14:paraId="11ADA4DE" w14:textId="77777777" w:rsidR="009253A3" w:rsidRPr="00C74B1F" w:rsidRDefault="009B7E75">
      <w:pPr>
        <w:jc w:val="center"/>
      </w:pPr>
      <w:commentRangeStart w:id="4"/>
      <w:r w:rsidRPr="00C74B1F">
        <w:t>[Company name</w:t>
      </w:r>
      <w:r w:rsidRPr="00C74B1F">
        <w:rPr>
          <w:b/>
        </w:rPr>
        <w:t>]</w:t>
      </w:r>
      <w:commentRangeEnd w:id="4"/>
      <w:r w:rsidR="00091C8D" w:rsidRPr="00C74B1F">
        <w:rPr>
          <w:rStyle w:val="CommentReference"/>
        </w:rPr>
        <w:commentReference w:id="4"/>
      </w:r>
      <w:r w:rsidRPr="00C74B1F">
        <w:rPr>
          <w:b/>
        </w:rPr>
        <w:t xml:space="preserve"> </w:t>
      </w:r>
      <w:r w:rsidRPr="00C74B1F">
        <w:t>(hereinafter referred as the "</w:t>
      </w:r>
      <w:r w:rsidRPr="00C74B1F">
        <w:rPr>
          <w:b/>
        </w:rPr>
        <w:t>Controller</w:t>
      </w:r>
      <w:r w:rsidRPr="00C74B1F">
        <w:t xml:space="preserve">") acting on its own </w:t>
      </w:r>
      <w:proofErr w:type="gramStart"/>
      <w:r w:rsidRPr="00C74B1F">
        <w:t>behalf;</w:t>
      </w:r>
      <w:proofErr w:type="gramEnd"/>
    </w:p>
    <w:p w14:paraId="4D9A806F" w14:textId="6886A3DC" w:rsidR="009253A3" w:rsidRPr="00C74B1F" w:rsidRDefault="00091C8D">
      <w:pPr>
        <w:jc w:val="center"/>
      </w:pPr>
      <w:r w:rsidRPr="00C74B1F">
        <w:t>a</w:t>
      </w:r>
      <w:r w:rsidR="009B7E75" w:rsidRPr="00C74B1F">
        <w:t>nd</w:t>
      </w:r>
    </w:p>
    <w:p w14:paraId="478B9342" w14:textId="77777777" w:rsidR="00091C8D" w:rsidRPr="00C74B1F" w:rsidRDefault="00091C8D">
      <w:pPr>
        <w:jc w:val="center"/>
      </w:pPr>
    </w:p>
    <w:p w14:paraId="3B3E0D79" w14:textId="4CD00000" w:rsidR="009253A3" w:rsidRPr="00C74B1F" w:rsidRDefault="009B7E75">
      <w:pPr>
        <w:jc w:val="center"/>
      </w:pPr>
      <w:commentRangeStart w:id="5"/>
      <w:r w:rsidRPr="00C74B1F">
        <w:t xml:space="preserve">[Supplier </w:t>
      </w:r>
      <w:r w:rsidR="00091C8D" w:rsidRPr="00C74B1F">
        <w:t>n</w:t>
      </w:r>
      <w:r w:rsidRPr="00C74B1F">
        <w:t>ame]</w:t>
      </w:r>
      <w:commentRangeEnd w:id="5"/>
      <w:r w:rsidR="00091C8D" w:rsidRPr="00C74B1F">
        <w:rPr>
          <w:rStyle w:val="CommentReference"/>
        </w:rPr>
        <w:commentReference w:id="5"/>
      </w:r>
      <w:r w:rsidRPr="00C74B1F">
        <w:rPr>
          <w:b/>
        </w:rPr>
        <w:t xml:space="preserve"> (</w:t>
      </w:r>
      <w:r w:rsidRPr="00C74B1F">
        <w:t xml:space="preserve">hereinafter referred as the </w:t>
      </w:r>
      <w:r w:rsidRPr="00C74B1F">
        <w:rPr>
          <w:b/>
        </w:rPr>
        <w:t>“Processor</w:t>
      </w:r>
      <w:r w:rsidRPr="00C74B1F">
        <w:t>"</w:t>
      </w:r>
      <w:r w:rsidRPr="00C74B1F">
        <w:rPr>
          <w:b/>
        </w:rPr>
        <w:t xml:space="preserve">) </w:t>
      </w:r>
      <w:r w:rsidRPr="00C74B1F">
        <w:t>acting on its own behalf.</w:t>
      </w:r>
    </w:p>
    <w:p w14:paraId="5697AB0E" w14:textId="77777777" w:rsidR="009253A3" w:rsidRPr="00C74B1F" w:rsidRDefault="009253A3"/>
    <w:p w14:paraId="138A1899" w14:textId="1C6AED38" w:rsidR="009253A3" w:rsidRDefault="009B7E75">
      <w:r w:rsidRPr="00C74B1F">
        <w:t>The terms used in this Agreement shall have the meanings set forth in this Addendum. Terms not otherwise defined herein shall have the meaning given to them in the Principal Agreement. Except as modified below, the terms of the Principal Agreement shall remain in full force and effect.</w:t>
      </w:r>
    </w:p>
    <w:p w14:paraId="4D1B4F51" w14:textId="47424C20" w:rsidR="009D1E9C" w:rsidRDefault="009D1E9C"/>
    <w:p w14:paraId="556F50D0" w14:textId="2A7C2D61" w:rsidR="009D1E9C" w:rsidRDefault="009D1E9C"/>
    <w:p w14:paraId="78E5B8B4" w14:textId="77777777" w:rsidR="009D1E9C" w:rsidRDefault="009D1E9C"/>
    <w:p w14:paraId="3979E836" w14:textId="77777777" w:rsidR="009D1E9C" w:rsidRDefault="009D1E9C" w:rsidP="009D1E9C">
      <w:pPr>
        <w:spacing w:after="0"/>
        <w:jc w:val="center"/>
        <w:rPr>
          <w:color w:val="auto"/>
        </w:rPr>
      </w:pPr>
      <w:r>
        <w:t>** END OF FREE PREVIEW **</w:t>
      </w:r>
    </w:p>
    <w:p w14:paraId="14CE4167" w14:textId="77777777" w:rsidR="009D1E9C" w:rsidRDefault="009D1E9C" w:rsidP="009D1E9C">
      <w:pPr>
        <w:spacing w:after="0"/>
        <w:jc w:val="center"/>
      </w:pPr>
      <w:r>
        <w:t xml:space="preserve">To download full version of this </w:t>
      </w:r>
      <w:proofErr w:type="gramStart"/>
      <w:r>
        <w:t>document</w:t>
      </w:r>
      <w:proofErr w:type="gramEnd"/>
      <w:r>
        <w:t xml:space="preserve"> click here:</w:t>
      </w:r>
    </w:p>
    <w:p w14:paraId="4BD94542" w14:textId="7A14494D" w:rsidR="009D1E9C" w:rsidRDefault="009D1E9C" w:rsidP="009D1E9C">
      <w:pPr>
        <w:jc w:val="center"/>
      </w:pPr>
      <w:hyperlink r:id="rId11" w:history="1">
        <w:r w:rsidRPr="007E59D7">
          <w:rPr>
            <w:rStyle w:val="Hyperlink"/>
          </w:rPr>
          <w:t>https://advisera.com/eugdpracademy/documentation/supplier-data-processing-agreement/</w:t>
        </w:r>
      </w:hyperlink>
    </w:p>
    <w:p w14:paraId="4B1D075E" w14:textId="77777777" w:rsidR="009D1E9C" w:rsidRPr="00C74B1F" w:rsidRDefault="009D1E9C" w:rsidP="009D1E9C">
      <w:pPr>
        <w:jc w:val="center"/>
      </w:pPr>
    </w:p>
    <w:sectPr w:rsidR="009D1E9C" w:rsidRPr="00C74B1F">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5T10:18:00Z" w:initials="EUA">
    <w:p w14:paraId="12B2AEC7" w14:textId="4EA03EBF" w:rsidR="000367AB" w:rsidRPr="000367AB" w:rsidRDefault="000367AB" w:rsidP="000367AB">
      <w:pPr>
        <w:pStyle w:val="CommentText"/>
        <w:rPr>
          <w:rFonts w:eastAsia="Times New Roman"/>
          <w:color w:val="auto"/>
        </w:rPr>
      </w:pPr>
      <w:r>
        <w:rPr>
          <w:rStyle w:val="CommentReference"/>
        </w:rPr>
        <w:annotationRef/>
      </w:r>
      <w:r w:rsidRPr="000367AB">
        <w:rPr>
          <w:rFonts w:eastAsia="Times New Roman"/>
          <w:color w:val="auto"/>
          <w:sz w:val="16"/>
          <w:szCs w:val="16"/>
        </w:rPr>
        <w:annotationRef/>
      </w:r>
      <w:r w:rsidRPr="000367AB">
        <w:rPr>
          <w:rFonts w:eastAsia="Times New Roman"/>
          <w:color w:val="auto"/>
          <w:lang w:eastAsia="ar-SA"/>
        </w:rPr>
        <w:t>To learn how to fill out this document, and to see real-life examples of what you need to write, watch this video tutorial: “10 How to handle third-party compliance”.</w:t>
      </w:r>
    </w:p>
    <w:p w14:paraId="6BE7D0BF" w14:textId="77777777" w:rsidR="000367AB" w:rsidRPr="000367AB" w:rsidRDefault="000367AB" w:rsidP="000367AB">
      <w:pPr>
        <w:suppressAutoHyphens/>
        <w:rPr>
          <w:rFonts w:eastAsia="Times New Roman"/>
          <w:color w:val="auto"/>
          <w:sz w:val="20"/>
          <w:szCs w:val="20"/>
          <w:lang w:eastAsia="ar-SA"/>
        </w:rPr>
      </w:pPr>
    </w:p>
    <w:p w14:paraId="1E41B8B3" w14:textId="512F9A04" w:rsidR="000367AB" w:rsidRPr="000367AB" w:rsidRDefault="000367AB" w:rsidP="000367AB">
      <w:pPr>
        <w:suppressAutoHyphens/>
        <w:rPr>
          <w:rFonts w:eastAsia="Times New Roman"/>
          <w:color w:val="auto"/>
          <w:lang w:eastAsia="ar-SA"/>
        </w:rPr>
      </w:pPr>
      <w:r w:rsidRPr="000367AB">
        <w:rPr>
          <w:rFonts w:eastAsia="Times New Roman"/>
          <w:color w:val="auto"/>
          <w:sz w:val="20"/>
          <w:szCs w:val="20"/>
          <w:lang w:eastAsia="ar-SA"/>
        </w:rPr>
        <w:t>To access the tutorial</w:t>
      </w:r>
      <w:r w:rsidRPr="000367AB">
        <w:rPr>
          <w:rFonts w:eastAsia="Times New Roman"/>
          <w:strike/>
          <w:color w:val="auto"/>
          <w:sz w:val="20"/>
          <w:szCs w:val="20"/>
          <w:lang w:eastAsia="ar-SA"/>
        </w:rPr>
        <w:t>,</w:t>
      </w:r>
      <w:r w:rsidRPr="000367AB">
        <w:rPr>
          <w:rFonts w:eastAsia="Times New Roman"/>
          <w:color w:val="auto"/>
          <w:lang w:eastAsia="ar-SA"/>
        </w:rPr>
        <w:t xml:space="preserve"> in your Inbox, find the email that you received at the moment of purchase - there, you will see a link that will enable you to access the video tutorial.</w:t>
      </w:r>
    </w:p>
  </w:comment>
  <w:comment w:id="1" w:author="EUGDPRAcademy" w:date="2022-09-12T20:20:00Z" w:initials="EUA">
    <w:p w14:paraId="627E7C45" w14:textId="77777777" w:rsidR="00091C8D" w:rsidRDefault="00091C8D" w:rsidP="00091C8D">
      <w:pPr>
        <w:rPr>
          <w:rFonts w:eastAsia="DejaVu Sans" w:cs="Calibri"/>
          <w:color w:val="auto"/>
          <w:sz w:val="20"/>
          <w:szCs w:val="20"/>
          <w:lang w:bidi="en-US"/>
        </w:rPr>
      </w:pPr>
      <w:r>
        <w:rPr>
          <w:rStyle w:val="CommentReference"/>
        </w:rPr>
        <w:annotationRef/>
      </w:r>
      <w:r w:rsidRPr="00E65EDA">
        <w:rPr>
          <w:rStyle w:val="CommentReference"/>
          <w:rFonts w:cs="Calibri"/>
          <w:color w:val="auto"/>
          <w:sz w:val="20"/>
          <w:szCs w:val="20"/>
        </w:rPr>
        <w:annotationRef/>
      </w:r>
      <w:r w:rsidRPr="00E65EDA">
        <w:rPr>
          <w:rFonts w:asciiTheme="minorHAnsi" w:hAnsiTheme="minorHAnsi"/>
          <w:color w:val="auto"/>
        </w:rPr>
        <w:t>This document is best suited for use when your company acts as a data controller.</w:t>
      </w:r>
    </w:p>
    <w:p w14:paraId="29726119" w14:textId="77777777" w:rsidR="00091C8D" w:rsidRDefault="00091C8D" w:rsidP="00091C8D">
      <w:pPr>
        <w:rPr>
          <w:rFonts w:eastAsia="DejaVu Sans" w:cs="Calibri"/>
          <w:color w:val="auto"/>
          <w:sz w:val="20"/>
          <w:szCs w:val="20"/>
          <w:lang w:bidi="en-US"/>
        </w:rPr>
      </w:pPr>
    </w:p>
    <w:p w14:paraId="644D774F" w14:textId="462FA1BF" w:rsidR="00091C8D" w:rsidRPr="00091C8D" w:rsidRDefault="00091C8D" w:rsidP="00091C8D">
      <w:pPr>
        <w:rPr>
          <w:rFonts w:eastAsia="DejaVu Sans" w:cs="Calibri"/>
          <w:color w:val="auto"/>
          <w:sz w:val="20"/>
          <w:szCs w:val="20"/>
          <w:lang w:bidi="en-US"/>
        </w:rPr>
      </w:pPr>
      <w:r w:rsidRPr="00646938">
        <w:rPr>
          <w:rFonts w:eastAsia="DejaVu Sans" w:cs="Calibri"/>
          <w:color w:val="auto"/>
          <w:sz w:val="20"/>
          <w:szCs w:val="20"/>
          <w:lang w:bidi="en-US"/>
        </w:rPr>
        <w:t>This is not a standalone document. It is meant to be an annex to the commercial agreement with the supplier who is processing data on your behalf.</w:t>
      </w:r>
    </w:p>
  </w:comment>
  <w:comment w:id="2" w:author="EUGDPRAcademy" w:date="2022-09-12T20:21:00Z" w:initials="EUA">
    <w:p w14:paraId="406B097D" w14:textId="5473E49A" w:rsidR="00091C8D" w:rsidRPr="00091C8D" w:rsidRDefault="00091C8D" w:rsidP="00091C8D">
      <w:pPr>
        <w:rPr>
          <w:rFonts w:cs="Calibri"/>
          <w:sz w:val="20"/>
          <w:szCs w:val="20"/>
        </w:rPr>
      </w:pPr>
      <w:r>
        <w:rPr>
          <w:rStyle w:val="CommentReference"/>
        </w:rPr>
        <w:annotationRef/>
      </w:r>
      <w:r w:rsidRPr="00646938">
        <w:rPr>
          <w:rStyle w:val="CommentReference"/>
          <w:rFonts w:cs="Calibri"/>
          <w:sz w:val="20"/>
          <w:szCs w:val="20"/>
        </w:rPr>
        <w:annotationRef/>
      </w:r>
      <w:r w:rsidRPr="00646938">
        <w:rPr>
          <w:rFonts w:eastAsia="DejaVu Sans" w:cs="Calibri"/>
          <w:color w:val="auto"/>
          <w:sz w:val="20"/>
          <w:szCs w:val="20"/>
          <w:lang w:bidi="en-US"/>
        </w:rPr>
        <w:t>Please fill in with the number and date of the principal agreement/commercial agreement or with the name and data of the contract or principle/commercial agreement.</w:t>
      </w:r>
    </w:p>
  </w:comment>
  <w:comment w:id="3" w:author="EUGDPRAcademy" w:date="2022-09-12T20:21:00Z" w:initials="EUA">
    <w:p w14:paraId="7E9037F7" w14:textId="29C4B542" w:rsidR="00091C8D" w:rsidRPr="00091C8D" w:rsidRDefault="00091C8D" w:rsidP="00091C8D">
      <w:pPr>
        <w:rPr>
          <w:rFonts w:cs="Calibri"/>
          <w:sz w:val="20"/>
          <w:szCs w:val="20"/>
        </w:rPr>
      </w:pPr>
      <w:r>
        <w:rPr>
          <w:rStyle w:val="CommentReference"/>
        </w:rPr>
        <w:annotationRef/>
      </w:r>
      <w:r w:rsidRPr="00646938">
        <w:rPr>
          <w:rStyle w:val="CommentReference"/>
          <w:rFonts w:cs="Calibri"/>
          <w:sz w:val="20"/>
          <w:szCs w:val="20"/>
        </w:rPr>
        <w:annotationRef/>
      </w:r>
      <w:r w:rsidRPr="00646938">
        <w:rPr>
          <w:rFonts w:eastAsia="DejaVu Sans" w:cs="Calibri"/>
          <w:color w:val="auto"/>
          <w:sz w:val="20"/>
          <w:szCs w:val="20"/>
          <w:lang w:bidi="en-US"/>
        </w:rPr>
        <w:t>This means the main commercial agreement.</w:t>
      </w:r>
    </w:p>
  </w:comment>
  <w:comment w:id="4" w:author="EUGDPRAcademy" w:date="2022-09-12T20:21:00Z" w:initials="EUA">
    <w:p w14:paraId="1A863C96" w14:textId="7F649B76" w:rsidR="00091C8D" w:rsidRPr="00091C8D" w:rsidRDefault="00091C8D" w:rsidP="00091C8D">
      <w:pPr>
        <w:rPr>
          <w:rFonts w:cs="Calibri"/>
          <w:sz w:val="20"/>
          <w:szCs w:val="20"/>
        </w:rPr>
      </w:pPr>
      <w:r>
        <w:rPr>
          <w:rStyle w:val="CommentReference"/>
        </w:rPr>
        <w:annotationRef/>
      </w:r>
      <w:r w:rsidRPr="00646938">
        <w:rPr>
          <w:rStyle w:val="CommentReference"/>
          <w:rFonts w:cs="Calibri"/>
          <w:sz w:val="20"/>
          <w:szCs w:val="20"/>
        </w:rPr>
        <w:annotationRef/>
      </w:r>
      <w:r w:rsidRPr="00646938">
        <w:rPr>
          <w:rFonts w:eastAsia="DejaVu Sans" w:cs="Calibri"/>
          <w:color w:val="auto"/>
          <w:sz w:val="20"/>
          <w:szCs w:val="20"/>
          <w:lang w:bidi="en-US"/>
        </w:rPr>
        <w:t>Fill in with the full legal name and details of your company.</w:t>
      </w:r>
    </w:p>
  </w:comment>
  <w:comment w:id="5" w:author="EUGDPRAcademy" w:date="2022-09-12T20:22:00Z" w:initials="EUA">
    <w:p w14:paraId="4D3F641C" w14:textId="61883EDB" w:rsidR="00091C8D" w:rsidRPr="00091C8D" w:rsidRDefault="00091C8D" w:rsidP="00091C8D">
      <w:pPr>
        <w:rPr>
          <w:rFonts w:cs="Calibri"/>
          <w:sz w:val="20"/>
          <w:szCs w:val="20"/>
        </w:rPr>
      </w:pPr>
      <w:r>
        <w:rPr>
          <w:rStyle w:val="CommentReference"/>
        </w:rPr>
        <w:annotationRef/>
      </w:r>
      <w:r w:rsidRPr="00646938">
        <w:rPr>
          <w:rStyle w:val="CommentReference"/>
          <w:rFonts w:cs="Calibri"/>
          <w:sz w:val="20"/>
          <w:szCs w:val="20"/>
        </w:rPr>
        <w:annotationRef/>
      </w:r>
      <w:r w:rsidRPr="00646938">
        <w:rPr>
          <w:rFonts w:eastAsia="DejaVu Sans" w:cs="Calibri"/>
          <w:color w:val="auto"/>
          <w:sz w:val="20"/>
          <w:szCs w:val="20"/>
          <w:lang w:bidi="en-US"/>
        </w:rPr>
        <w:t>Fill in with the full legal name and details of your Supplier.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41B8B3" w15:done="0"/>
  <w15:commentEx w15:paraId="644D774F" w15:done="0"/>
  <w15:commentEx w15:paraId="406B097D" w15:done="0"/>
  <w15:commentEx w15:paraId="7E9037F7" w15:done="0"/>
  <w15:commentEx w15:paraId="1A863C96" w15:done="0"/>
  <w15:commentEx w15:paraId="4D3F64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41B8B3" w16cid:durableId="26E607EB"/>
  <w16cid:commentId w16cid:paraId="644D774F" w16cid:durableId="26CA12F4"/>
  <w16cid:commentId w16cid:paraId="406B097D" w16cid:durableId="26CA133A"/>
  <w16cid:commentId w16cid:paraId="7E9037F7" w16cid:durableId="26CA1354"/>
  <w16cid:commentId w16cid:paraId="1A863C96" w16cid:durableId="26CA1361"/>
  <w16cid:commentId w16cid:paraId="4D3F641C" w16cid:durableId="26CA13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AEA0" w14:textId="77777777" w:rsidR="00BC6B7A" w:rsidRDefault="00BC6B7A">
      <w:pPr>
        <w:spacing w:after="0" w:line="240" w:lineRule="auto"/>
      </w:pPr>
      <w:r>
        <w:separator/>
      </w:r>
    </w:p>
  </w:endnote>
  <w:endnote w:type="continuationSeparator" w:id="0">
    <w:p w14:paraId="16B13AAA" w14:textId="77777777" w:rsidR="00BC6B7A" w:rsidRDefault="00BC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77777777" w:rsidR="009253A3" w:rsidRPr="00646938" w:rsidRDefault="009B7E75">
          <w:pPr>
            <w:pStyle w:val="Footer"/>
            <w:rPr>
              <w:sz w:val="18"/>
              <w:szCs w:val="18"/>
            </w:rPr>
          </w:pPr>
          <w:r w:rsidRPr="00646938">
            <w:rPr>
              <w:sz w:val="18"/>
              <w:szCs w:val="18"/>
            </w:rPr>
            <w:t>Supplier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proofErr w:type="spellStart"/>
          <w:r w:rsidRPr="00646938">
            <w:rPr>
              <w:sz w:val="18"/>
              <w:szCs w:val="18"/>
            </w:rPr>
            <w:t>ver</w:t>
          </w:r>
          <w:proofErr w:type="spellEnd"/>
          <w:r w:rsidRPr="00646938">
            <w:rPr>
              <w:sz w:val="18"/>
              <w:szCs w:val="18"/>
            </w:rPr>
            <w:t xml:space="preserve"> [version] from [date]</w:t>
          </w:r>
        </w:p>
      </w:tc>
      <w:tc>
        <w:tcPr>
          <w:tcW w:w="3544" w:type="dxa"/>
          <w:shd w:val="clear" w:color="auto" w:fill="auto"/>
        </w:tcPr>
        <w:p w14:paraId="3F804B2F" w14:textId="2586CDF4"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475918">
            <w:rPr>
              <w:noProof/>
              <w:sz w:val="18"/>
              <w:szCs w:val="18"/>
            </w:rPr>
            <w:t>9</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475918">
            <w:rPr>
              <w:noProof/>
              <w:sz w:val="18"/>
              <w:szCs w:val="18"/>
            </w:rPr>
            <w:t>13</w:t>
          </w:r>
          <w:r w:rsidRPr="00646938">
            <w:rPr>
              <w:sz w:val="18"/>
              <w:szCs w:val="18"/>
            </w:rPr>
            <w:fldChar w:fldCharType="end"/>
          </w:r>
        </w:p>
      </w:tc>
    </w:tr>
  </w:tbl>
  <w:p w14:paraId="6E868C3A" w14:textId="6BF9D3D5" w:rsidR="009253A3" w:rsidRDefault="00391F72" w:rsidP="00391F72">
    <w:pPr>
      <w:spacing w:after="0"/>
      <w:jc w:val="center"/>
      <w:rPr>
        <w:rFonts w:eastAsia="Times New Roman"/>
        <w:sz w:val="16"/>
        <w:szCs w:val="16"/>
      </w:rPr>
    </w:pPr>
    <w:r w:rsidRPr="00391F72">
      <w:rPr>
        <w:rFonts w:eastAsia="Times New Roman"/>
        <w:sz w:val="16"/>
        <w:szCs w:val="16"/>
      </w:rPr>
      <w:t xml:space="preserve">©2022 This template may be used by clients of </w:t>
    </w:r>
    <w:proofErr w:type="spellStart"/>
    <w:r w:rsidRPr="00391F72">
      <w:rPr>
        <w:rFonts w:eastAsia="Times New Roman"/>
        <w:sz w:val="16"/>
        <w:szCs w:val="16"/>
      </w:rPr>
      <w:t>Advisera</w:t>
    </w:r>
    <w:proofErr w:type="spellEnd"/>
    <w:r w:rsidRPr="00391F72">
      <w:rPr>
        <w:rFonts w:eastAsia="Times New Roman"/>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5B21C" w14:textId="77777777" w:rsidR="00C74B1F" w:rsidRDefault="00C74B1F" w:rsidP="00C74B1F">
    <w:pPr>
      <w:pStyle w:val="Footer"/>
      <w:rPr>
        <w:rFonts w:eastAsia="Times New Roman"/>
        <w:sz w:val="16"/>
        <w:szCs w:val="16"/>
      </w:rPr>
    </w:pPr>
  </w:p>
  <w:p w14:paraId="6C2F4CD7" w14:textId="3D0FE5F5" w:rsidR="009253A3" w:rsidRPr="00C74B1F" w:rsidRDefault="00C74B1F" w:rsidP="00C74B1F">
    <w:pPr>
      <w:pStyle w:val="Footer"/>
      <w:jc w:val="center"/>
    </w:pPr>
    <w:r w:rsidRPr="00C74B1F">
      <w:rPr>
        <w:rFonts w:eastAsia="Times New Roman"/>
        <w:sz w:val="16"/>
        <w:szCs w:val="16"/>
      </w:rPr>
      <w:t xml:space="preserve">©2022 This template may be used by clients of </w:t>
    </w:r>
    <w:proofErr w:type="spellStart"/>
    <w:r w:rsidRPr="00C74B1F">
      <w:rPr>
        <w:rFonts w:eastAsia="Times New Roman"/>
        <w:sz w:val="16"/>
        <w:szCs w:val="16"/>
      </w:rPr>
      <w:t>Advisera</w:t>
    </w:r>
    <w:proofErr w:type="spellEnd"/>
    <w:r w:rsidRPr="00C74B1F">
      <w:rPr>
        <w:rFonts w:eastAsia="Times New Roman"/>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F25CF" w14:textId="77777777" w:rsidR="00BC6B7A" w:rsidRDefault="00BC6B7A">
      <w:pPr>
        <w:spacing w:after="0" w:line="240" w:lineRule="auto"/>
      </w:pPr>
      <w:r>
        <w:separator/>
      </w:r>
    </w:p>
  </w:footnote>
  <w:footnote w:type="continuationSeparator" w:id="0">
    <w:p w14:paraId="2E8489F5" w14:textId="77777777" w:rsidR="00BC6B7A" w:rsidRDefault="00BC6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67F8C461" w:rsidR="009253A3" w:rsidRDefault="009B7E75">
          <w:pPr>
            <w:pStyle w:val="Header"/>
            <w:spacing w:after="0"/>
            <w:rPr>
              <w:sz w:val="20"/>
              <w:szCs w:val="20"/>
            </w:rPr>
          </w:pPr>
          <w:r>
            <w:rPr>
              <w:sz w:val="20"/>
            </w:rPr>
            <w:t>[organization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15:restartNumberingAfterBreak="0">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2" w15:restartNumberingAfterBreak="0">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7" w15:restartNumberingAfterBreak="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0" w15:restartNumberingAfterBreak="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1"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3" w15:restartNumberingAfterBreak="0">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6"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16cid:durableId="267935906">
    <w:abstractNumId w:val="4"/>
  </w:num>
  <w:num w:numId="2" w16cid:durableId="2020504985">
    <w:abstractNumId w:val="8"/>
  </w:num>
  <w:num w:numId="3" w16cid:durableId="1231770906">
    <w:abstractNumId w:val="13"/>
  </w:num>
  <w:num w:numId="4" w16cid:durableId="1834636960">
    <w:abstractNumId w:val="10"/>
  </w:num>
  <w:num w:numId="5" w16cid:durableId="1455635413">
    <w:abstractNumId w:val="5"/>
  </w:num>
  <w:num w:numId="6" w16cid:durableId="1888056645">
    <w:abstractNumId w:val="2"/>
  </w:num>
  <w:num w:numId="7" w16cid:durableId="2026205322">
    <w:abstractNumId w:val="7"/>
  </w:num>
  <w:num w:numId="8" w16cid:durableId="2099908250">
    <w:abstractNumId w:val="1"/>
  </w:num>
  <w:num w:numId="9" w16cid:durableId="1112280649">
    <w:abstractNumId w:val="3"/>
  </w:num>
  <w:num w:numId="10" w16cid:durableId="1088307435">
    <w:abstractNumId w:val="6"/>
  </w:num>
  <w:num w:numId="11" w16cid:durableId="260115256">
    <w:abstractNumId w:val="9"/>
  </w:num>
  <w:num w:numId="12" w16cid:durableId="817038414">
    <w:abstractNumId w:val="16"/>
  </w:num>
  <w:num w:numId="13" w16cid:durableId="311521342">
    <w:abstractNumId w:val="14"/>
  </w:num>
  <w:num w:numId="14" w16cid:durableId="1637904518">
    <w:abstractNumId w:val="11"/>
  </w:num>
  <w:num w:numId="15" w16cid:durableId="1409306896">
    <w:abstractNumId w:val="15"/>
  </w:num>
  <w:num w:numId="16" w16cid:durableId="1923948298">
    <w:abstractNumId w:val="0"/>
  </w:num>
  <w:num w:numId="17" w16cid:durableId="549344290">
    <w:abstractNumId w:val="17"/>
  </w:num>
  <w:num w:numId="18" w16cid:durableId="90225560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I2MzY1NDEHMowMDJR0lIJTi4sz8/NACgxrAVm/avYsAAAA"/>
  </w:docVars>
  <w:rsids>
    <w:rsidRoot w:val="009253A3"/>
    <w:rsid w:val="000367AB"/>
    <w:rsid w:val="00091C8D"/>
    <w:rsid w:val="000A344F"/>
    <w:rsid w:val="000E02C9"/>
    <w:rsid w:val="00154F76"/>
    <w:rsid w:val="00252059"/>
    <w:rsid w:val="00277F8E"/>
    <w:rsid w:val="00284D1F"/>
    <w:rsid w:val="00391F72"/>
    <w:rsid w:val="00475918"/>
    <w:rsid w:val="004B6EBD"/>
    <w:rsid w:val="004E3DC7"/>
    <w:rsid w:val="00563C92"/>
    <w:rsid w:val="00574AD9"/>
    <w:rsid w:val="00646938"/>
    <w:rsid w:val="006A23D4"/>
    <w:rsid w:val="007166B4"/>
    <w:rsid w:val="00776796"/>
    <w:rsid w:val="00796CB9"/>
    <w:rsid w:val="007C34B6"/>
    <w:rsid w:val="00845600"/>
    <w:rsid w:val="009253A3"/>
    <w:rsid w:val="009B7E75"/>
    <w:rsid w:val="009D1E9C"/>
    <w:rsid w:val="00A45E3F"/>
    <w:rsid w:val="00AB7CBE"/>
    <w:rsid w:val="00AD28BF"/>
    <w:rsid w:val="00AD7790"/>
    <w:rsid w:val="00BC6B7A"/>
    <w:rsid w:val="00C74B1F"/>
    <w:rsid w:val="00C9214F"/>
    <w:rsid w:val="00D45275"/>
    <w:rsid w:val="00D62B09"/>
    <w:rsid w:val="00D85D48"/>
    <w:rsid w:val="00E65EDA"/>
    <w:rsid w:val="00EA2B8F"/>
    <w:rsid w:val="00F83D25"/>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D1E9C"/>
    <w:rPr>
      <w:color w:val="0000FF"/>
      <w:u w:val="single"/>
      <w:lang w:val="en-GB"/>
    </w:rPr>
  </w:style>
  <w:style w:type="character" w:styleId="UnresolvedMention">
    <w:name w:val="Unresolved Mention"/>
    <w:basedOn w:val="DefaultParagraphFont"/>
    <w:uiPriority w:val="99"/>
    <w:semiHidden/>
    <w:unhideWhenUsed/>
    <w:rsid w:val="009D1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889090">
      <w:bodyDiv w:val="1"/>
      <w:marLeft w:val="0"/>
      <w:marRight w:val="0"/>
      <w:marTop w:val="0"/>
      <w:marBottom w:val="0"/>
      <w:divBdr>
        <w:top w:val="none" w:sz="0" w:space="0" w:color="auto"/>
        <w:left w:val="none" w:sz="0" w:space="0" w:color="auto"/>
        <w:bottom w:val="none" w:sz="0" w:space="0" w:color="auto"/>
        <w:right w:val="none" w:sz="0" w:space="0" w:color="auto"/>
      </w:divBdr>
    </w:div>
    <w:div w:id="1387408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supplier-data-processing-agre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77C83-8C7A-45C8-88A4-58AFA9D91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835</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52</vt:i4>
      </vt:variant>
    </vt:vector>
  </HeadingPairs>
  <TitlesOfParts>
    <vt:vector size="53" baseType="lpstr">
      <vt:lpstr>Supplier Data Processing Agreement version A</vt:lpstr>
      <vt:lpstr>Definitions</vt:lpstr>
      <vt:lpstr>Data Processing Terms</vt:lpstr>
      <vt:lpstr>Processing of Controller Personal Data</vt:lpstr>
      <vt:lpstr>Reliability and Non–Disclosure</vt:lpstr>
      <vt:lpstr>Personal Data Security</vt:lpstr>
      <vt:lpstr>        Pseudonymization and encryption;</vt:lpstr>
      <vt:lpstr>        The ability to ensure the ongoing confidentiality, integrity, availability and r</vt:lpstr>
      <vt:lpstr>        The ability to restore the availability and access to Controller Personal Data i</vt:lpstr>
      <vt:lpstr>        A process for regularly testing, assessing and evaluating the effectiveness of t</vt:lpstr>
      <vt:lpstr>    In assessing the appropriate level of security, the Processor shall take into ac</vt:lpstr>
      <vt:lpstr>Sub-Processing</vt:lpstr>
      <vt:lpstr>    As of the Addendum Effective Date, the Controller hereby authorises the Processo</vt:lpstr>
      <vt:lpstr>    With respect to each Sub-Processor, the Processor shall:</vt:lpstr>
      <vt:lpstr>        Provide the Controller with full details of the Processing to be undertaken by e</vt:lpstr>
      <vt:lpstr>        Carry out adequate due diligence on each Sub-Processor to ensure that it can pro</vt:lpstr>
      <vt:lpstr>        Include terms in the contract between the Processor and each Sub-processor which</vt:lpstr>
      <vt:lpstr>        Insofar as that contract involves the transfer of Controller Personal Data outsi</vt:lpstr>
      <vt:lpstr>        Remain fully liable to the Controller for any failure by each Sub-Processor to f</vt:lpstr>
      <vt:lpstr>    As of the Addendum Effective Date, the Controller hereby authorises the Processo</vt:lpstr>
      <vt:lpstr>Data Subject Rights</vt:lpstr>
      <vt:lpstr>    Taking into account the nature of the Processing, the Processor shall assist the</vt:lpstr>
      <vt:lpstr>    The Processor shall promptly notify the Controller if it receives a request from</vt:lpstr>
      <vt:lpstr>    The Processor shall cooperate as requested by the Controller to enable the Contr</vt:lpstr>
      <vt:lpstr>        The provision of all data requested by the Controller within any reasonable time</vt:lpstr>
      <vt:lpstr>        Where applicable, providing such assistance as is reasonably requested by the Co</vt:lpstr>
      <vt:lpstr>        Implementing any additional technical and organisational measures as may be reas</vt:lpstr>
      <vt:lpstr>Personal Data Breach</vt:lpstr>
      <vt:lpstr>    The Processor shall notify the Controller without undue delay and, in any case, </vt:lpstr>
      <vt:lpstr>        Describe the nature of the Personal Data Breach, the categories and numbers of D</vt:lpstr>
      <vt:lpstr>        Communicate the name and contact details of the Processor's Data Protection Offi</vt:lpstr>
      <vt:lpstr>        Describe the estimated risk and the likely consequences of the Personal Data Bre</vt:lpstr>
      <vt:lpstr>        Describe the measures taken or proposed to be taken to address the Personal Data</vt:lpstr>
      <vt:lpstr>    The Processor shall co-operate with the Controller and take such reasonable comm</vt:lpstr>
      <vt:lpstr>    In the event of a Personal Data Breach, the Processor shall not inform any third</vt:lpstr>
      <vt:lpstr>Data Protection Impact Assessment and Prior Consultation</vt:lpstr>
      <vt:lpstr>Erasure or Return of Controller Personal Data</vt:lpstr>
      <vt:lpstr>    Processor shall promptly and, in any event, within 90 (ninety)  calendar days o</vt:lpstr>
      <vt:lpstr>        Return a complete copy of all Controller Personal Data to the Controller by secu</vt:lpstr>
      <vt:lpstr>        Securely wipe all copies of Controller Personal Data Processed by Processor or a</vt:lpstr>
      <vt:lpstr>    Processor may retain Controller Personal Data to the extent required by Union or</vt:lpstr>
      <vt:lpstr>Audit Rights</vt:lpstr>
      <vt:lpstr>International Transfers of Controller Personal Data</vt:lpstr>
      <vt:lpstr>    Processor shall not process Controller Personal Data nor permit any Authorised S</vt:lpstr>
      <vt:lpstr>    When requested by Controller, Processor shall promptly enter into (or procure th</vt:lpstr>
      <vt:lpstr>Codes of Conduct and Certification</vt:lpstr>
      <vt:lpstr>General Terms</vt:lpstr>
      <vt:lpstr>    Subject to this section, the parties agree that this Agreement and the Standard </vt:lpstr>
      <vt:lpstr>    Any obligation imposed on the Processor under this Addendum in relation to the P</vt:lpstr>
      <vt:lpstr>    This Addendum, excluding the Standard Contractual Clauses, shall be governed by </vt:lpstr>
      <vt:lpstr>    Any breach of this Addendum shall constitute a material breach of the Principal </vt:lpstr>
      <vt:lpstr>    With regard to the subject matter of this Addendum, in the event of inconsistenc</vt:lpstr>
      <vt:lpstr>    Should any provision of this Addendum be invalid or unenforceable, then the rema</vt:lpstr>
    </vt:vector>
  </TitlesOfParts>
  <Company>Advisera Expert Solutions Ltd</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Data Processing Agreement version A</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2022-10-03T23:30:00Z</dcterms:created>
  <dcterms:modified xsi:type="dcterms:W3CDTF">2022-10-03T23:30:00Z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