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6FA03" w14:textId="3D6222F5" w:rsidR="00297F33" w:rsidRPr="00C2613E" w:rsidRDefault="004F4963" w:rsidP="00795A0A">
      <w:pPr>
        <w:jc w:val="center"/>
      </w:pPr>
      <w:r>
        <w:rPr>
          <w:rStyle w:val="CommentReference"/>
        </w:rPr>
        <w:commentReference w:id="0"/>
      </w:r>
      <w:r w:rsidR="00795A0A" w:rsidRPr="00FC7949">
        <w:t>** KOSTENLOSE VORSCHAU **</w:t>
      </w:r>
    </w:p>
    <w:p w14:paraId="2201F7D2" w14:textId="77777777" w:rsidR="00297F33" w:rsidRPr="00C2613E" w:rsidRDefault="00297F33"/>
    <w:p w14:paraId="408CE5A4" w14:textId="77777777" w:rsidR="00297F33" w:rsidRPr="00C2613E" w:rsidRDefault="00297F33"/>
    <w:p w14:paraId="7852A0D0" w14:textId="77777777" w:rsidR="00297F33" w:rsidRPr="00C2613E" w:rsidRDefault="00297F33"/>
    <w:p w14:paraId="14F03C68" w14:textId="77777777" w:rsidR="00297F33" w:rsidRPr="00C2613E" w:rsidRDefault="00297F33"/>
    <w:p w14:paraId="5F4A2A89" w14:textId="77777777" w:rsidR="00297F33" w:rsidRPr="00C2613E" w:rsidRDefault="00297F33"/>
    <w:p w14:paraId="3B4EB1EC" w14:textId="23A44466" w:rsidR="008A4636" w:rsidRPr="00C2613E" w:rsidRDefault="004F4963" w:rsidP="004F4963">
      <w:pPr>
        <w:tabs>
          <w:tab w:val="left" w:pos="3390"/>
          <w:tab w:val="center" w:pos="4536"/>
        </w:tabs>
      </w:pPr>
      <w:commentRangeStart w:id="1"/>
      <w:r>
        <w:tab/>
      </w:r>
      <w:r>
        <w:tab/>
      </w:r>
      <w:r w:rsidR="008A4636" w:rsidRPr="00C2613E">
        <w:t>[Logo der Organisation]</w:t>
      </w:r>
      <w:commentRangeEnd w:id="1"/>
      <w:r>
        <w:rPr>
          <w:rStyle w:val="CommentReference"/>
        </w:rPr>
        <w:commentReference w:id="1"/>
      </w:r>
    </w:p>
    <w:p w14:paraId="550C70A4" w14:textId="77777777" w:rsidR="00297F33" w:rsidRPr="00C2613E" w:rsidRDefault="008A4636" w:rsidP="008A4636">
      <w:pPr>
        <w:jc w:val="center"/>
      </w:pPr>
      <w:r w:rsidRPr="00C2613E">
        <w:t>[Name der Organisation</w:t>
      </w:r>
      <w:r w:rsidR="00297F33" w:rsidRPr="00C2613E">
        <w:t>]</w:t>
      </w:r>
    </w:p>
    <w:p w14:paraId="594A2F79" w14:textId="77777777" w:rsidR="00297F33" w:rsidRPr="00C2613E" w:rsidRDefault="00297F33" w:rsidP="00297F33">
      <w:pPr>
        <w:jc w:val="center"/>
      </w:pPr>
    </w:p>
    <w:p w14:paraId="0E0C2461" w14:textId="77777777" w:rsidR="00297F33" w:rsidRPr="00C2613E" w:rsidRDefault="00297F33" w:rsidP="00297F33">
      <w:pPr>
        <w:jc w:val="center"/>
      </w:pPr>
    </w:p>
    <w:p w14:paraId="02DC548A" w14:textId="77777777" w:rsidR="00297F33" w:rsidRPr="00C2613E" w:rsidRDefault="004D3E02" w:rsidP="00297F33">
      <w:pPr>
        <w:jc w:val="center"/>
        <w:rPr>
          <w:b/>
          <w:sz w:val="32"/>
          <w:szCs w:val="32"/>
        </w:rPr>
      </w:pPr>
      <w:commentRangeStart w:id="2"/>
      <w:r w:rsidRPr="00C2613E">
        <w:rPr>
          <w:b/>
          <w:sz w:val="32"/>
        </w:rPr>
        <w:t>STRATEGIE FÜR BETRIEBLICHES KONTINUITÄTSMANAGEMENT</w:t>
      </w:r>
      <w:commentRangeEnd w:id="2"/>
      <w:r w:rsidR="004F4963">
        <w:rPr>
          <w:rStyle w:val="CommentReference"/>
        </w:rPr>
        <w:commentReference w:id="2"/>
      </w:r>
    </w:p>
    <w:p w14:paraId="59A3E78E" w14:textId="77777777" w:rsidR="00297F33" w:rsidRPr="00C2613E" w:rsidRDefault="00297F33" w:rsidP="00297F3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97F33" w:rsidRPr="00C2613E" w14:paraId="0A89355F" w14:textId="77777777" w:rsidTr="00297F33">
        <w:tc>
          <w:tcPr>
            <w:tcW w:w="2376" w:type="dxa"/>
          </w:tcPr>
          <w:p w14:paraId="7FF71FFB" w14:textId="77777777" w:rsidR="00297F33" w:rsidRPr="00C2613E" w:rsidRDefault="006A5475" w:rsidP="008A4636">
            <w:commentRangeStart w:id="3"/>
            <w:r>
              <w:t>C</w:t>
            </w:r>
            <w:r w:rsidR="008A4636" w:rsidRPr="00C2613E">
              <w:t>ode</w:t>
            </w:r>
            <w:commentRangeEnd w:id="3"/>
            <w:r w:rsidR="004F4963">
              <w:rPr>
                <w:rStyle w:val="CommentReference"/>
              </w:rPr>
              <w:commentReference w:id="3"/>
            </w:r>
            <w:r w:rsidR="00297F33" w:rsidRPr="00C2613E">
              <w:t>:</w:t>
            </w:r>
          </w:p>
        </w:tc>
        <w:tc>
          <w:tcPr>
            <w:tcW w:w="6912" w:type="dxa"/>
          </w:tcPr>
          <w:p w14:paraId="4692D885" w14:textId="77777777" w:rsidR="00297F33" w:rsidRPr="00C2613E" w:rsidRDefault="00297F33" w:rsidP="00297F33"/>
        </w:tc>
      </w:tr>
      <w:tr w:rsidR="00297F33" w:rsidRPr="00C2613E" w14:paraId="2B059F2F" w14:textId="77777777" w:rsidTr="00297F33">
        <w:tc>
          <w:tcPr>
            <w:tcW w:w="2376" w:type="dxa"/>
          </w:tcPr>
          <w:p w14:paraId="4CD122D3" w14:textId="77777777" w:rsidR="00297F33" w:rsidRPr="00C2613E" w:rsidRDefault="00297F33" w:rsidP="00297F33">
            <w:r w:rsidRPr="00C2613E">
              <w:t>Version:</w:t>
            </w:r>
          </w:p>
        </w:tc>
        <w:tc>
          <w:tcPr>
            <w:tcW w:w="6912" w:type="dxa"/>
          </w:tcPr>
          <w:p w14:paraId="0E31E407" w14:textId="77777777" w:rsidR="00297F33" w:rsidRPr="00C2613E" w:rsidRDefault="00297F33" w:rsidP="00297F33"/>
        </w:tc>
      </w:tr>
      <w:tr w:rsidR="00A74517" w:rsidRPr="00C2613E" w14:paraId="3076B5E9" w14:textId="77777777" w:rsidTr="00297F33">
        <w:tc>
          <w:tcPr>
            <w:tcW w:w="2376" w:type="dxa"/>
          </w:tcPr>
          <w:p w14:paraId="11B8A239" w14:textId="77777777" w:rsidR="00A74517" w:rsidRPr="00C2613E" w:rsidRDefault="00A74517" w:rsidP="00732818">
            <w:r w:rsidRPr="00C2613E">
              <w:t>Datum der Version:</w:t>
            </w:r>
          </w:p>
        </w:tc>
        <w:tc>
          <w:tcPr>
            <w:tcW w:w="6912" w:type="dxa"/>
          </w:tcPr>
          <w:p w14:paraId="73341781" w14:textId="77777777" w:rsidR="00A74517" w:rsidRPr="00C2613E" w:rsidRDefault="00A74517" w:rsidP="00297F33"/>
        </w:tc>
      </w:tr>
      <w:tr w:rsidR="00A74517" w:rsidRPr="00C2613E" w14:paraId="5B95CDA3" w14:textId="77777777" w:rsidTr="00297F33">
        <w:tc>
          <w:tcPr>
            <w:tcW w:w="2376" w:type="dxa"/>
          </w:tcPr>
          <w:p w14:paraId="552D83D6" w14:textId="77777777" w:rsidR="00A74517" w:rsidRPr="00C2613E" w:rsidRDefault="00A74517" w:rsidP="00732818">
            <w:r w:rsidRPr="00C2613E">
              <w:t>Erstellt durch:</w:t>
            </w:r>
          </w:p>
        </w:tc>
        <w:tc>
          <w:tcPr>
            <w:tcW w:w="6912" w:type="dxa"/>
          </w:tcPr>
          <w:p w14:paraId="4E277A90" w14:textId="77777777" w:rsidR="00A74517" w:rsidRPr="00C2613E" w:rsidRDefault="00A74517" w:rsidP="00297F33"/>
        </w:tc>
      </w:tr>
      <w:tr w:rsidR="00A74517" w:rsidRPr="00C2613E" w14:paraId="2405D8DD" w14:textId="77777777" w:rsidTr="00297F33">
        <w:tc>
          <w:tcPr>
            <w:tcW w:w="2376" w:type="dxa"/>
          </w:tcPr>
          <w:p w14:paraId="1CFED290" w14:textId="77777777" w:rsidR="00A74517" w:rsidRPr="00C2613E" w:rsidRDefault="00A74517" w:rsidP="00732818">
            <w:r w:rsidRPr="00C2613E">
              <w:t>Genehmigt durch:</w:t>
            </w:r>
          </w:p>
        </w:tc>
        <w:tc>
          <w:tcPr>
            <w:tcW w:w="6912" w:type="dxa"/>
          </w:tcPr>
          <w:p w14:paraId="76E0AAD0" w14:textId="77777777" w:rsidR="00A74517" w:rsidRPr="00C2613E" w:rsidRDefault="00A74517" w:rsidP="00297F33"/>
        </w:tc>
      </w:tr>
      <w:tr w:rsidR="00A74517" w:rsidRPr="00C2613E" w14:paraId="3C6C97DB" w14:textId="77777777" w:rsidTr="00297F33">
        <w:tc>
          <w:tcPr>
            <w:tcW w:w="2376" w:type="dxa"/>
          </w:tcPr>
          <w:p w14:paraId="0F5D4DF6" w14:textId="77777777" w:rsidR="00A74517" w:rsidRPr="00C2613E" w:rsidRDefault="00A74517" w:rsidP="00732818">
            <w:r w:rsidRPr="00C2613E">
              <w:t>Vertraulichkeitsstufe:</w:t>
            </w:r>
          </w:p>
        </w:tc>
        <w:tc>
          <w:tcPr>
            <w:tcW w:w="6912" w:type="dxa"/>
          </w:tcPr>
          <w:p w14:paraId="09848846" w14:textId="77777777" w:rsidR="00A74517" w:rsidRPr="00C2613E" w:rsidRDefault="00A74517" w:rsidP="00297F33"/>
        </w:tc>
      </w:tr>
    </w:tbl>
    <w:p w14:paraId="2D0A8FC4" w14:textId="77777777" w:rsidR="00297F33" w:rsidRPr="00C2613E" w:rsidRDefault="00297F33" w:rsidP="00297F33"/>
    <w:p w14:paraId="093A1891" w14:textId="77777777" w:rsidR="00297F33" w:rsidRPr="00C2613E" w:rsidRDefault="00297F33" w:rsidP="00297F33"/>
    <w:p w14:paraId="14CD154C" w14:textId="77777777" w:rsidR="00297F33" w:rsidRPr="00C2613E" w:rsidRDefault="00297F33" w:rsidP="00297F33">
      <w:pPr>
        <w:rPr>
          <w:b/>
          <w:sz w:val="28"/>
          <w:szCs w:val="28"/>
        </w:rPr>
      </w:pPr>
      <w:r w:rsidRPr="00C2613E">
        <w:br w:type="page"/>
      </w:r>
      <w:r w:rsidR="00A74517" w:rsidRPr="00C2613E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A74517" w:rsidRPr="00C2613E" w14:paraId="7AF0FD07" w14:textId="77777777" w:rsidTr="00297F33">
        <w:tc>
          <w:tcPr>
            <w:tcW w:w="1384" w:type="dxa"/>
            <w:shd w:val="clear" w:color="auto" w:fill="D9D9D9"/>
          </w:tcPr>
          <w:p w14:paraId="1AB6B4F1" w14:textId="77777777" w:rsidR="00A74517" w:rsidRPr="00C2613E" w:rsidRDefault="00A74517" w:rsidP="00732818">
            <w:pPr>
              <w:tabs>
                <w:tab w:val="left" w:pos="996"/>
              </w:tabs>
              <w:rPr>
                <w:b/>
              </w:rPr>
            </w:pPr>
            <w:r w:rsidRPr="00C2613E">
              <w:rPr>
                <w:b/>
              </w:rPr>
              <w:t>Datum</w:t>
            </w:r>
            <w:r w:rsidRPr="00C2613E">
              <w:rPr>
                <w:b/>
              </w:rPr>
              <w:tab/>
            </w:r>
          </w:p>
        </w:tc>
        <w:tc>
          <w:tcPr>
            <w:tcW w:w="992" w:type="dxa"/>
            <w:shd w:val="clear" w:color="auto" w:fill="D9D9D9"/>
          </w:tcPr>
          <w:p w14:paraId="6E483B18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Version</w:t>
            </w:r>
          </w:p>
        </w:tc>
        <w:tc>
          <w:tcPr>
            <w:tcW w:w="1560" w:type="dxa"/>
            <w:shd w:val="clear" w:color="auto" w:fill="D9D9D9"/>
          </w:tcPr>
          <w:p w14:paraId="640FF4BD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Erstellt durch</w:t>
            </w:r>
          </w:p>
        </w:tc>
        <w:tc>
          <w:tcPr>
            <w:tcW w:w="5352" w:type="dxa"/>
            <w:shd w:val="clear" w:color="auto" w:fill="D9D9D9"/>
          </w:tcPr>
          <w:p w14:paraId="532CDB96" w14:textId="77777777" w:rsidR="00A74517" w:rsidRPr="00C2613E" w:rsidRDefault="00A74517" w:rsidP="00732818">
            <w:pPr>
              <w:rPr>
                <w:b/>
              </w:rPr>
            </w:pPr>
            <w:r w:rsidRPr="00C2613E">
              <w:rPr>
                <w:b/>
              </w:rPr>
              <w:t>Beschreibung der Änderung</w:t>
            </w:r>
          </w:p>
        </w:tc>
      </w:tr>
      <w:tr w:rsidR="00A74517" w:rsidRPr="00C2613E" w14:paraId="3266CBCF" w14:textId="77777777" w:rsidTr="00297F33">
        <w:tc>
          <w:tcPr>
            <w:tcW w:w="1384" w:type="dxa"/>
          </w:tcPr>
          <w:p w14:paraId="0A27F932" w14:textId="77777777" w:rsidR="00A74517" w:rsidRPr="00C2613E" w:rsidRDefault="00A74517" w:rsidP="006A5475"/>
        </w:tc>
        <w:tc>
          <w:tcPr>
            <w:tcW w:w="992" w:type="dxa"/>
          </w:tcPr>
          <w:p w14:paraId="3A8FAC2F" w14:textId="77777777" w:rsidR="00A74517" w:rsidRPr="00C2613E" w:rsidRDefault="00A74517" w:rsidP="00732818">
            <w:r w:rsidRPr="00C2613E">
              <w:t>0.1</w:t>
            </w:r>
          </w:p>
        </w:tc>
        <w:tc>
          <w:tcPr>
            <w:tcW w:w="1560" w:type="dxa"/>
          </w:tcPr>
          <w:p w14:paraId="34CD69AE" w14:textId="6C15AA7F" w:rsidR="00A74517" w:rsidRPr="00C2613E" w:rsidRDefault="007604E3" w:rsidP="00732818">
            <w:r>
              <w:t>27001A</w:t>
            </w:r>
            <w:r w:rsidR="004F4963">
              <w:t>cademy</w:t>
            </w:r>
          </w:p>
        </w:tc>
        <w:tc>
          <w:tcPr>
            <w:tcW w:w="5352" w:type="dxa"/>
          </w:tcPr>
          <w:p w14:paraId="475C138C" w14:textId="77777777" w:rsidR="00A74517" w:rsidRPr="00C2613E" w:rsidRDefault="00A74517" w:rsidP="00732818">
            <w:r w:rsidRPr="00C2613E">
              <w:t>Erster Entwurf des Dokuments</w:t>
            </w:r>
          </w:p>
        </w:tc>
      </w:tr>
      <w:tr w:rsidR="00297F33" w:rsidRPr="00C2613E" w14:paraId="4CDB5EC1" w14:textId="77777777" w:rsidTr="00297F33">
        <w:tc>
          <w:tcPr>
            <w:tcW w:w="1384" w:type="dxa"/>
          </w:tcPr>
          <w:p w14:paraId="2CA597E5" w14:textId="77777777" w:rsidR="00297F33" w:rsidRPr="00C2613E" w:rsidRDefault="00297F33" w:rsidP="00297F33"/>
        </w:tc>
        <w:tc>
          <w:tcPr>
            <w:tcW w:w="992" w:type="dxa"/>
          </w:tcPr>
          <w:p w14:paraId="67C101E8" w14:textId="77777777" w:rsidR="00297F33" w:rsidRPr="00C2613E" w:rsidRDefault="00297F33" w:rsidP="00297F33"/>
        </w:tc>
        <w:tc>
          <w:tcPr>
            <w:tcW w:w="1560" w:type="dxa"/>
          </w:tcPr>
          <w:p w14:paraId="727319B0" w14:textId="77777777" w:rsidR="00297F33" w:rsidRPr="00C2613E" w:rsidRDefault="00297F33" w:rsidP="00297F33"/>
        </w:tc>
        <w:tc>
          <w:tcPr>
            <w:tcW w:w="5352" w:type="dxa"/>
          </w:tcPr>
          <w:p w14:paraId="44AD712B" w14:textId="77777777" w:rsidR="00297F33" w:rsidRPr="00C2613E" w:rsidRDefault="00297F33" w:rsidP="00297F33"/>
        </w:tc>
      </w:tr>
      <w:tr w:rsidR="00297F33" w:rsidRPr="00C2613E" w14:paraId="71257663" w14:textId="77777777" w:rsidTr="00297F33">
        <w:tc>
          <w:tcPr>
            <w:tcW w:w="1384" w:type="dxa"/>
          </w:tcPr>
          <w:p w14:paraId="16CEEDAE" w14:textId="77777777" w:rsidR="00297F33" w:rsidRPr="00C2613E" w:rsidRDefault="00297F33" w:rsidP="00297F33"/>
        </w:tc>
        <w:tc>
          <w:tcPr>
            <w:tcW w:w="992" w:type="dxa"/>
          </w:tcPr>
          <w:p w14:paraId="1B80DE57" w14:textId="77777777" w:rsidR="00297F33" w:rsidRPr="00C2613E" w:rsidRDefault="00297F33" w:rsidP="00297F33"/>
        </w:tc>
        <w:tc>
          <w:tcPr>
            <w:tcW w:w="1560" w:type="dxa"/>
          </w:tcPr>
          <w:p w14:paraId="39DE76F0" w14:textId="77777777" w:rsidR="00297F33" w:rsidRPr="00C2613E" w:rsidRDefault="00297F33" w:rsidP="00297F33"/>
        </w:tc>
        <w:tc>
          <w:tcPr>
            <w:tcW w:w="5352" w:type="dxa"/>
          </w:tcPr>
          <w:p w14:paraId="2685AC08" w14:textId="77777777" w:rsidR="00297F33" w:rsidRPr="00C2613E" w:rsidRDefault="00297F33" w:rsidP="00297F33"/>
        </w:tc>
      </w:tr>
      <w:tr w:rsidR="00297F33" w:rsidRPr="00C2613E" w14:paraId="57C819F4" w14:textId="77777777" w:rsidTr="00297F33">
        <w:tc>
          <w:tcPr>
            <w:tcW w:w="1384" w:type="dxa"/>
          </w:tcPr>
          <w:p w14:paraId="453B98BE" w14:textId="77777777" w:rsidR="00297F33" w:rsidRPr="00C2613E" w:rsidRDefault="00297F33" w:rsidP="00297F33"/>
        </w:tc>
        <w:tc>
          <w:tcPr>
            <w:tcW w:w="992" w:type="dxa"/>
          </w:tcPr>
          <w:p w14:paraId="1A5F96B4" w14:textId="77777777" w:rsidR="00297F33" w:rsidRPr="00C2613E" w:rsidRDefault="00297F33" w:rsidP="00297F33"/>
        </w:tc>
        <w:tc>
          <w:tcPr>
            <w:tcW w:w="1560" w:type="dxa"/>
          </w:tcPr>
          <w:p w14:paraId="60253D86" w14:textId="77777777" w:rsidR="00297F33" w:rsidRPr="00C2613E" w:rsidRDefault="00297F33" w:rsidP="00297F33"/>
        </w:tc>
        <w:tc>
          <w:tcPr>
            <w:tcW w:w="5352" w:type="dxa"/>
          </w:tcPr>
          <w:p w14:paraId="0FB6181F" w14:textId="77777777" w:rsidR="00297F33" w:rsidRPr="00C2613E" w:rsidRDefault="00297F33" w:rsidP="00297F33"/>
        </w:tc>
      </w:tr>
    </w:tbl>
    <w:p w14:paraId="3298846D" w14:textId="77777777" w:rsidR="00297F33" w:rsidRPr="00E554E8" w:rsidRDefault="00297F33" w:rsidP="00297F33">
      <w:pPr>
        <w:rPr>
          <w:sz w:val="12"/>
        </w:rPr>
      </w:pPr>
    </w:p>
    <w:p w14:paraId="201D1AD2" w14:textId="77777777" w:rsidR="00A74517" w:rsidRPr="00C2613E" w:rsidRDefault="00A74517" w:rsidP="00A74517">
      <w:pPr>
        <w:rPr>
          <w:b/>
          <w:sz w:val="28"/>
          <w:szCs w:val="28"/>
        </w:rPr>
      </w:pPr>
      <w:r w:rsidRPr="00C2613E">
        <w:rPr>
          <w:b/>
          <w:sz w:val="28"/>
        </w:rPr>
        <w:t>Inhaltsverzeichnis</w:t>
      </w:r>
    </w:p>
    <w:p w14:paraId="13FAED06" w14:textId="77777777" w:rsidR="00B67CE2" w:rsidRDefault="00541E5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2613E">
        <w:fldChar w:fldCharType="begin"/>
      </w:r>
      <w:r w:rsidR="00297F33" w:rsidRPr="00C2613E">
        <w:instrText xml:space="preserve"> TOC \o "1-3" \h \z \u </w:instrText>
      </w:r>
      <w:r w:rsidRPr="00C2613E">
        <w:fldChar w:fldCharType="separate"/>
      </w:r>
      <w:hyperlink w:anchor="_Toc36835879" w:history="1">
        <w:r w:rsidR="00B67CE2" w:rsidRPr="003C2C1B">
          <w:rPr>
            <w:rStyle w:val="Hyperlink"/>
            <w:noProof/>
          </w:rPr>
          <w:t>1.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Zweck, Anwendungsbereich und Anwender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_Toc36835879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1C63B428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0" w:history="1">
        <w:r w:rsidR="00B67CE2" w:rsidRPr="003C2C1B">
          <w:rPr>
            <w:rStyle w:val="Hyperlink"/>
            <w:noProof/>
          </w:rPr>
          <w:t>2.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Referenzdokumente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3803261E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1" w:history="1">
        <w:r w:rsidR="00B67CE2" w:rsidRPr="003C2C1B">
          <w:rPr>
            <w:rStyle w:val="Hyperlink"/>
            <w:noProof/>
          </w:rPr>
          <w:t>3.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Strategie-Grundlagen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6BDA2097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2" w:history="1">
        <w:r w:rsidR="00B67CE2" w:rsidRPr="003C2C1B">
          <w:rPr>
            <w:rStyle w:val="Hyperlink"/>
            <w:noProof/>
          </w:rPr>
          <w:t>3.1.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Geschäftsauswirkungsanalyse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2A213CF0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3" w:history="1">
        <w:r w:rsidR="00B67CE2" w:rsidRPr="003C2C1B">
          <w:rPr>
            <w:rStyle w:val="Hyperlink"/>
            <w:noProof/>
          </w:rPr>
          <w:t>3.2.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Risikomanagement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3</w:t>
        </w:r>
        <w:r w:rsidR="00B67CE2">
          <w:rPr>
            <w:noProof/>
            <w:webHidden/>
          </w:rPr>
          <w:fldChar w:fldCharType="end"/>
        </w:r>
      </w:hyperlink>
    </w:p>
    <w:p w14:paraId="582B953C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84" w:history="1">
        <w:r w:rsidR="00B67CE2" w:rsidRPr="003C2C1B">
          <w:rPr>
            <w:rStyle w:val="Hyperlink"/>
            <w:noProof/>
          </w:rPr>
          <w:t>4.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Notfallantwortstruktur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1B08F4AB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5" w:history="1">
        <w:r w:rsidR="00B67CE2" w:rsidRPr="003C2C1B">
          <w:rPr>
            <w:rStyle w:val="Hyperlink"/>
            <w:noProof/>
          </w:rPr>
          <w:t>4.1.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 und Krisenstab Support-Team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419EFDBE" w14:textId="77777777" w:rsidR="00B67CE2" w:rsidRDefault="00232AC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6" w:history="1">
        <w:r w:rsidR="00B67CE2" w:rsidRPr="003C2C1B">
          <w:rPr>
            <w:rStyle w:val="Hyperlink"/>
            <w:noProof/>
          </w:rPr>
          <w:t>4.1.1.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4</w:t>
        </w:r>
        <w:r w:rsidR="00B67CE2">
          <w:rPr>
            <w:noProof/>
            <w:webHidden/>
          </w:rPr>
          <w:fldChar w:fldCharType="end"/>
        </w:r>
      </w:hyperlink>
    </w:p>
    <w:p w14:paraId="0B792FA7" w14:textId="77777777" w:rsidR="00B67CE2" w:rsidRDefault="00232AC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7" w:history="1">
        <w:r w:rsidR="00B67CE2" w:rsidRPr="003C2C1B">
          <w:rPr>
            <w:rStyle w:val="Hyperlink"/>
            <w:noProof/>
          </w:rPr>
          <w:t>4.1.2.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Krisenstab Support-Team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_Toc36835887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5</w:t>
        </w:r>
        <w:r w:rsidR="00B67CE2">
          <w:rPr>
            <w:noProof/>
            <w:webHidden/>
          </w:rPr>
          <w:fldChar w:fldCharType="end"/>
        </w:r>
      </w:hyperlink>
    </w:p>
    <w:p w14:paraId="4325D40A" w14:textId="77777777" w:rsidR="00B67CE2" w:rsidRDefault="00232AC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35888" w:history="1">
        <w:r w:rsidR="00B67CE2" w:rsidRPr="003C2C1B">
          <w:rPr>
            <w:rStyle w:val="Hyperlink"/>
            <w:noProof/>
          </w:rPr>
          <w:t>4.1.3.</w:t>
        </w:r>
        <w:r w:rsidR="00B67C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Ausstattung der Einsatzzentrale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_Toc36835888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5</w:t>
        </w:r>
        <w:r w:rsidR="00B67CE2">
          <w:rPr>
            <w:noProof/>
            <w:webHidden/>
          </w:rPr>
          <w:fldChar w:fldCharType="end"/>
        </w:r>
      </w:hyperlink>
    </w:p>
    <w:p w14:paraId="1D444A38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89" w:history="1">
        <w:r w:rsidR="00B67CE2" w:rsidRPr="003C2C1B">
          <w:rPr>
            <w:rStyle w:val="Hyperlink"/>
            <w:noProof/>
          </w:rPr>
          <w:t>4.2.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Berichtswesen und Entscheidungsbefugnisse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_Toc36835889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6</w:t>
        </w:r>
        <w:r w:rsidR="00B67CE2">
          <w:rPr>
            <w:noProof/>
            <w:webHidden/>
          </w:rPr>
          <w:fldChar w:fldCharType="end"/>
        </w:r>
      </w:hyperlink>
    </w:p>
    <w:p w14:paraId="5FDFFDDD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0" w:history="1">
        <w:r w:rsidR="00B67CE2" w:rsidRPr="003C2C1B">
          <w:rPr>
            <w:rStyle w:val="Hyperlink"/>
            <w:noProof/>
          </w:rPr>
          <w:t>4.3.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Zusammenarbeit mit den Behörden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7</w:t>
        </w:r>
        <w:r w:rsidR="00B67CE2">
          <w:rPr>
            <w:noProof/>
            <w:webHidden/>
          </w:rPr>
          <w:fldChar w:fldCharType="end"/>
        </w:r>
      </w:hyperlink>
    </w:p>
    <w:p w14:paraId="2F1AF7FB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1" w:history="1">
        <w:r w:rsidR="00B67CE2" w:rsidRPr="003C2C1B">
          <w:rPr>
            <w:rStyle w:val="Hyperlink"/>
            <w:noProof/>
          </w:rPr>
          <w:t>4.4.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Gebäude-Evakuierung und Sammelpunkte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7</w:t>
        </w:r>
        <w:r w:rsidR="00B67CE2">
          <w:rPr>
            <w:noProof/>
            <w:webHidden/>
          </w:rPr>
          <w:fldChar w:fldCharType="end"/>
        </w:r>
      </w:hyperlink>
    </w:p>
    <w:p w14:paraId="38A812DA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2" w:history="1">
        <w:r w:rsidR="00B67CE2" w:rsidRPr="003C2C1B">
          <w:rPr>
            <w:rStyle w:val="Hyperlink"/>
            <w:noProof/>
          </w:rPr>
          <w:t>4.5.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Kommunikationsarten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22E817A7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3" w:history="1">
        <w:r w:rsidR="00B67CE2" w:rsidRPr="003C2C1B">
          <w:rPr>
            <w:rStyle w:val="Hyperlink"/>
            <w:noProof/>
          </w:rPr>
          <w:t>4.6.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Transport zu Ausweichstandorten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3CE02F12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4" w:history="1">
        <w:r w:rsidR="00B67CE2" w:rsidRPr="003C2C1B">
          <w:rPr>
            <w:rStyle w:val="Hyperlink"/>
            <w:noProof/>
          </w:rPr>
          <w:t>4.7.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Kommunikation mit interessierten Parteien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8</w:t>
        </w:r>
        <w:r w:rsidR="00B67CE2">
          <w:rPr>
            <w:noProof/>
            <w:webHidden/>
          </w:rPr>
          <w:fldChar w:fldCharType="end"/>
        </w:r>
      </w:hyperlink>
    </w:p>
    <w:p w14:paraId="7F7A915D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895" w:history="1">
        <w:r w:rsidR="00B67CE2" w:rsidRPr="003C2C1B">
          <w:rPr>
            <w:rStyle w:val="Hyperlink"/>
            <w:noProof/>
          </w:rPr>
          <w:t>5.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Ressourcen-Strategie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9</w:t>
        </w:r>
        <w:r w:rsidR="00B67CE2">
          <w:rPr>
            <w:noProof/>
            <w:webHidden/>
          </w:rPr>
          <w:fldChar w:fldCharType="end"/>
        </w:r>
      </w:hyperlink>
    </w:p>
    <w:p w14:paraId="1C279619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6" w:history="1">
        <w:r w:rsidR="00B67CE2" w:rsidRPr="003C2C1B">
          <w:rPr>
            <w:rStyle w:val="Hyperlink"/>
            <w:noProof/>
          </w:rPr>
          <w:t>5.1.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Standorte und Infrastruktur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9</w:t>
        </w:r>
        <w:r w:rsidR="00B67CE2">
          <w:rPr>
            <w:noProof/>
            <w:webHidden/>
          </w:rPr>
          <w:fldChar w:fldCharType="end"/>
        </w:r>
      </w:hyperlink>
    </w:p>
    <w:p w14:paraId="35B5F38E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7" w:history="1">
        <w:r w:rsidR="00B67CE2" w:rsidRPr="003C2C1B">
          <w:rPr>
            <w:rStyle w:val="Hyperlink"/>
            <w:noProof/>
          </w:rPr>
          <w:t>5.2.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Lieferanten und Outsourcing Partner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_Toc36835897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11</w:t>
        </w:r>
        <w:r w:rsidR="00B67CE2">
          <w:rPr>
            <w:noProof/>
            <w:webHidden/>
          </w:rPr>
          <w:fldChar w:fldCharType="end"/>
        </w:r>
      </w:hyperlink>
    </w:p>
    <w:p w14:paraId="204D6A73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8" w:history="1">
        <w:r w:rsidR="00B67CE2" w:rsidRPr="003C2C1B">
          <w:rPr>
            <w:rStyle w:val="Hyperlink"/>
            <w:noProof/>
          </w:rPr>
          <w:t>5.3.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Anwendungen/Datenbanken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_Toc36835898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12</w:t>
        </w:r>
        <w:r w:rsidR="00B67CE2">
          <w:rPr>
            <w:noProof/>
            <w:webHidden/>
          </w:rPr>
          <w:fldChar w:fldCharType="end"/>
        </w:r>
      </w:hyperlink>
    </w:p>
    <w:p w14:paraId="54F98BC7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899" w:history="1">
        <w:r w:rsidR="00B67CE2" w:rsidRPr="003C2C1B">
          <w:rPr>
            <w:rStyle w:val="Hyperlink"/>
            <w:noProof/>
          </w:rPr>
          <w:t>5.4.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Daten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_Toc36835899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12</w:t>
        </w:r>
        <w:r w:rsidR="00B67CE2">
          <w:rPr>
            <w:noProof/>
            <w:webHidden/>
          </w:rPr>
          <w:fldChar w:fldCharType="end"/>
        </w:r>
      </w:hyperlink>
    </w:p>
    <w:p w14:paraId="04742E82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900" w:history="1">
        <w:r w:rsidR="00B67CE2" w:rsidRPr="003C2C1B">
          <w:rPr>
            <w:rStyle w:val="Hyperlink"/>
            <w:noProof/>
          </w:rPr>
          <w:t>5.5.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Vermeidung möglicher zentraler Ausfallpunkte (Single Point of Failure)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_Toc36835900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13</w:t>
        </w:r>
        <w:r w:rsidR="00B67CE2">
          <w:rPr>
            <w:noProof/>
            <w:webHidden/>
          </w:rPr>
          <w:fldChar w:fldCharType="end"/>
        </w:r>
      </w:hyperlink>
    </w:p>
    <w:p w14:paraId="7828E333" w14:textId="77777777" w:rsidR="00B67CE2" w:rsidRDefault="00232AC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5901" w:history="1">
        <w:r w:rsidR="00B67CE2" w:rsidRPr="003C2C1B">
          <w:rPr>
            <w:rStyle w:val="Hyperlink"/>
            <w:noProof/>
          </w:rPr>
          <w:t>5.6.</w:t>
        </w:r>
        <w:r w:rsidR="00B67C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Bereitstellung finanzieller Mittel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_Toc36835901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13</w:t>
        </w:r>
        <w:r w:rsidR="00B67CE2">
          <w:rPr>
            <w:noProof/>
            <w:webHidden/>
          </w:rPr>
          <w:fldChar w:fldCharType="end"/>
        </w:r>
      </w:hyperlink>
    </w:p>
    <w:p w14:paraId="53A121A6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2" w:history="1">
        <w:r w:rsidR="00B67CE2" w:rsidRPr="003C2C1B">
          <w:rPr>
            <w:rStyle w:val="Hyperlink"/>
            <w:noProof/>
          </w:rPr>
          <w:t>6.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Wiederherstellungs-Strategie für einzelne Aktivitäten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_Toc36835902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6794BC89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3" w:history="1">
        <w:r w:rsidR="00B67CE2" w:rsidRPr="003C2C1B">
          <w:rPr>
            <w:rStyle w:val="Hyperlink"/>
            <w:noProof/>
          </w:rPr>
          <w:t>7.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Umsetzung aller notwendigen Vorbereitungen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_Toc36835903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5011CECD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4" w:history="1">
        <w:r w:rsidR="00B67CE2" w:rsidRPr="003C2C1B">
          <w:rPr>
            <w:rStyle w:val="Hyperlink"/>
            <w:noProof/>
          </w:rPr>
          <w:t>8.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Verwaltung von Aufzeichnungen zu diesem Dokument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_Toc36835904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14</w:t>
        </w:r>
        <w:r w:rsidR="00B67CE2">
          <w:rPr>
            <w:noProof/>
            <w:webHidden/>
          </w:rPr>
          <w:fldChar w:fldCharType="end"/>
        </w:r>
      </w:hyperlink>
    </w:p>
    <w:p w14:paraId="5637720D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5" w:history="1">
        <w:r w:rsidR="00B67CE2" w:rsidRPr="003C2C1B">
          <w:rPr>
            <w:rStyle w:val="Hyperlink"/>
            <w:noProof/>
          </w:rPr>
          <w:t>9.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Gültigkeit und Dokumenten-Handhabung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_Toc36835905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15</w:t>
        </w:r>
        <w:r w:rsidR="00B67CE2">
          <w:rPr>
            <w:noProof/>
            <w:webHidden/>
          </w:rPr>
          <w:fldChar w:fldCharType="end"/>
        </w:r>
      </w:hyperlink>
    </w:p>
    <w:p w14:paraId="281F45EC" w14:textId="77777777" w:rsidR="00B67CE2" w:rsidRDefault="00232AC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5906" w:history="1">
        <w:r w:rsidR="00B67CE2" w:rsidRPr="003C2C1B">
          <w:rPr>
            <w:rStyle w:val="Hyperlink"/>
            <w:noProof/>
          </w:rPr>
          <w:t>10.</w:t>
        </w:r>
        <w:r w:rsidR="00B67C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67CE2" w:rsidRPr="003C2C1B">
          <w:rPr>
            <w:rStyle w:val="Hyperlink"/>
            <w:noProof/>
          </w:rPr>
          <w:t>Anhänge</w:t>
        </w:r>
        <w:r w:rsidR="00B67CE2">
          <w:rPr>
            <w:noProof/>
            <w:webHidden/>
          </w:rPr>
          <w:tab/>
        </w:r>
        <w:r w:rsidR="00B67CE2">
          <w:rPr>
            <w:noProof/>
            <w:webHidden/>
          </w:rPr>
          <w:fldChar w:fldCharType="begin"/>
        </w:r>
        <w:r w:rsidR="00B67CE2">
          <w:rPr>
            <w:noProof/>
            <w:webHidden/>
          </w:rPr>
          <w:instrText xml:space="preserve"> PAGEREF _Toc36835906 \h </w:instrText>
        </w:r>
        <w:r w:rsidR="00B67CE2">
          <w:rPr>
            <w:noProof/>
            <w:webHidden/>
          </w:rPr>
        </w:r>
        <w:r w:rsidR="00B67CE2">
          <w:rPr>
            <w:noProof/>
            <w:webHidden/>
          </w:rPr>
          <w:fldChar w:fldCharType="separate"/>
        </w:r>
        <w:r w:rsidR="00B67CE2">
          <w:rPr>
            <w:noProof/>
            <w:webHidden/>
          </w:rPr>
          <w:t>15</w:t>
        </w:r>
        <w:r w:rsidR="00B67CE2">
          <w:rPr>
            <w:noProof/>
            <w:webHidden/>
          </w:rPr>
          <w:fldChar w:fldCharType="end"/>
        </w:r>
      </w:hyperlink>
    </w:p>
    <w:p w14:paraId="3C17CFEE" w14:textId="77777777" w:rsidR="00297F33" w:rsidRPr="00C2613E" w:rsidRDefault="00541E5D" w:rsidP="007604E3">
      <w:pPr>
        <w:pStyle w:val="TOC1"/>
      </w:pPr>
      <w:r w:rsidRPr="00C2613E">
        <w:fldChar w:fldCharType="end"/>
      </w:r>
    </w:p>
    <w:p w14:paraId="7890B952" w14:textId="77777777" w:rsidR="00297F33" w:rsidRPr="00C2613E" w:rsidRDefault="00297F33" w:rsidP="00297F33">
      <w:pPr>
        <w:pStyle w:val="Heading1"/>
      </w:pPr>
      <w:r w:rsidRPr="00C2613E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835879"/>
      <w:r w:rsidR="00A74517" w:rsidRPr="00C2613E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B8FB0EC" w14:textId="77777777" w:rsidR="003B036F" w:rsidRPr="00C2613E" w:rsidRDefault="003B036F" w:rsidP="003B036F">
      <w:r>
        <w:t>Der Zweck dieses Dokuments ist</w:t>
      </w:r>
      <w:r w:rsidRPr="00C2613E">
        <w:t xml:space="preserve"> zu definieren</w:t>
      </w:r>
      <w:r>
        <w:t>, welche Optionen und Lösungen</w:t>
      </w:r>
      <w:r w:rsidRPr="00C2613E">
        <w:t xml:space="preserve"> [</w:t>
      </w:r>
      <w:commentRangeStart w:id="14"/>
      <w:r w:rsidRPr="00C2613E">
        <w:t>Name der Organisation</w:t>
      </w:r>
      <w:commentRangeEnd w:id="14"/>
      <w:r>
        <w:rPr>
          <w:rStyle w:val="CommentReference"/>
        </w:rPr>
        <w:commentReference w:id="14"/>
      </w:r>
      <w:r w:rsidRPr="00C2613E">
        <w:t xml:space="preserve">] </w:t>
      </w:r>
      <w:r>
        <w:t xml:space="preserve">zur Verfügung stehen, um </w:t>
      </w:r>
      <w:r w:rsidRPr="00C2613E">
        <w:t>sicher</w:t>
      </w:r>
      <w:r>
        <w:t>zu</w:t>
      </w:r>
      <w:r w:rsidRPr="00C2613E">
        <w:t xml:space="preserve">stellen , dass alle Bedingungen für die Wiederaufnahme von Geschäftsaktivitäten im Falle einer Katastrophe oder eines anderen </w:t>
      </w:r>
      <w:r>
        <w:t>Not</w:t>
      </w:r>
      <w:r w:rsidRPr="00C2613E">
        <w:t>falles erfüllt sind. Es ist die Grundlage für die Ausarbeitung des Plans für betriebliche</w:t>
      </w:r>
      <w:r>
        <w:t>s</w:t>
      </w:r>
      <w:r w:rsidRPr="00C2613E">
        <w:t xml:space="preserve"> Kontinuität</w:t>
      </w:r>
      <w:r>
        <w:t>smanagement</w:t>
      </w:r>
      <w:r w:rsidRPr="00C2613E">
        <w:t xml:space="preserve"> und für Wiederherstellungs-Pläne. </w:t>
      </w:r>
    </w:p>
    <w:p w14:paraId="428325ED" w14:textId="77777777" w:rsidR="003B036F" w:rsidRPr="00C2613E" w:rsidRDefault="003B036F" w:rsidP="003B036F">
      <w:r w:rsidRPr="00C2613E">
        <w:t>Dieses Dokument wird auf den gesamten BKMS Anwendungsbereich angewendet, entsprechend seiner Definition in der Richtlinie für betriebliches Kontinuitätsmanagement.</w:t>
      </w:r>
    </w:p>
    <w:p w14:paraId="3C52C6EB" w14:textId="77777777" w:rsidR="003B036F" w:rsidRPr="00C2613E" w:rsidRDefault="003B036F" w:rsidP="003B036F">
      <w:r w:rsidRPr="00C2613E">
        <w:t>Anwender dieses Dokuments sind Mitglieder der Unternehmensleitung und Personen die das Projekt für betriebliches Kontinuitätsmanagement umsetzen.</w:t>
      </w:r>
    </w:p>
    <w:p w14:paraId="3197106A" w14:textId="77777777" w:rsidR="00297F33" w:rsidRPr="00C2613E" w:rsidRDefault="00297F33" w:rsidP="00297F33"/>
    <w:p w14:paraId="0B5D91F8" w14:textId="77777777" w:rsidR="00A74517" w:rsidRPr="00C2613E" w:rsidRDefault="00A74517" w:rsidP="00A74517">
      <w:pPr>
        <w:pStyle w:val="Heading1"/>
      </w:pPr>
      <w:bookmarkStart w:id="15" w:name="_Toc264805703"/>
      <w:bookmarkStart w:id="16" w:name="_Toc326767662"/>
      <w:bookmarkStart w:id="17" w:name="_Toc326919937"/>
      <w:bookmarkStart w:id="18" w:name="_Toc327091437"/>
      <w:bookmarkStart w:id="19" w:name="_Toc327169107"/>
      <w:bookmarkStart w:id="20" w:name="_Toc327194333"/>
      <w:bookmarkStart w:id="21" w:name="_Toc327270037"/>
      <w:bookmarkStart w:id="22" w:name="_Toc327368821"/>
      <w:bookmarkStart w:id="23" w:name="_Toc327435013"/>
      <w:bookmarkStart w:id="24" w:name="_Toc36835880"/>
      <w:r w:rsidRPr="00C2613E">
        <w:t>Referenzdokumente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FB59A4F" w14:textId="77777777" w:rsidR="006A4ABD" w:rsidRPr="00C2613E" w:rsidRDefault="006A4ABD" w:rsidP="00297F33">
      <w:pPr>
        <w:numPr>
          <w:ilvl w:val="0"/>
          <w:numId w:val="4"/>
        </w:numPr>
        <w:spacing w:after="0"/>
      </w:pPr>
      <w:r w:rsidRPr="00C2613E">
        <w:t xml:space="preserve">ISO 22301 </w:t>
      </w:r>
      <w:r w:rsidR="00FB3B39">
        <w:t>Norm</w:t>
      </w:r>
      <w:r w:rsidR="00A74517" w:rsidRPr="00C2613E">
        <w:t>, Abschnitte 8.3 u</w:t>
      </w:r>
      <w:r w:rsidRPr="00C2613E">
        <w:t>nd 8.4.2</w:t>
      </w:r>
    </w:p>
    <w:p w14:paraId="755D008B" w14:textId="77777777" w:rsidR="00297F33" w:rsidRPr="00C2613E" w:rsidRDefault="00A74517" w:rsidP="00297F33">
      <w:pPr>
        <w:numPr>
          <w:ilvl w:val="0"/>
          <w:numId w:val="4"/>
        </w:numPr>
        <w:spacing w:after="0"/>
      </w:pPr>
      <w:r w:rsidRPr="00C2613E">
        <w:t>Richtlinie für betriebliches Kontinuitätsmanagement</w:t>
      </w:r>
    </w:p>
    <w:p w14:paraId="0BEACB09" w14:textId="77777777" w:rsidR="00297F33" w:rsidRPr="00C2613E" w:rsidRDefault="00FB3B39" w:rsidP="00297F33">
      <w:pPr>
        <w:numPr>
          <w:ilvl w:val="0"/>
          <w:numId w:val="4"/>
        </w:numPr>
        <w:spacing w:after="0"/>
      </w:pPr>
      <w:r>
        <w:t>Fragebogen zur G</w:t>
      </w:r>
      <w:r w:rsidR="00A74517" w:rsidRPr="00C2613E">
        <w:t>eschäftsauswirkungsanalyse</w:t>
      </w:r>
    </w:p>
    <w:p w14:paraId="497BD988" w14:textId="77777777" w:rsidR="00297F33" w:rsidRPr="00C2613E" w:rsidRDefault="00297F33" w:rsidP="00297F33">
      <w:pPr>
        <w:numPr>
          <w:ilvl w:val="0"/>
          <w:numId w:val="4"/>
        </w:numPr>
        <w:spacing w:after="0"/>
      </w:pPr>
      <w:r w:rsidRPr="00C2613E">
        <w:t>[</w:t>
      </w:r>
      <w:r w:rsidR="00A74517" w:rsidRPr="00C2613E">
        <w:t>Dokument zur Risikobewertung</w:t>
      </w:r>
      <w:r w:rsidRPr="00C2613E">
        <w:t>]</w:t>
      </w:r>
    </w:p>
    <w:p w14:paraId="2F551844" w14:textId="77777777" w:rsidR="00297F33" w:rsidRPr="00C2613E" w:rsidRDefault="00297F33" w:rsidP="00297F33">
      <w:pPr>
        <w:numPr>
          <w:ilvl w:val="0"/>
          <w:numId w:val="4"/>
        </w:numPr>
        <w:spacing w:after="0"/>
      </w:pPr>
      <w:r w:rsidRPr="00C2613E">
        <w:t>[</w:t>
      </w:r>
      <w:r w:rsidR="00A74517" w:rsidRPr="00C2613E">
        <w:t>Dokument zur Risikobehandlung</w:t>
      </w:r>
      <w:r w:rsidRPr="00C2613E">
        <w:t>]</w:t>
      </w:r>
    </w:p>
    <w:p w14:paraId="6E90A4B8" w14:textId="77777777" w:rsidR="00297F33" w:rsidRPr="00C2613E" w:rsidRDefault="00535BE3" w:rsidP="00297F33">
      <w:pPr>
        <w:numPr>
          <w:ilvl w:val="0"/>
          <w:numId w:val="4"/>
        </w:numPr>
      </w:pPr>
      <w:r w:rsidRPr="00C2613E">
        <w:t>Plan für betriebliche</w:t>
      </w:r>
      <w:r w:rsidR="00C97FE2">
        <w:t>s</w:t>
      </w:r>
      <w:r w:rsidRPr="00C2613E">
        <w:t xml:space="preserve"> Kontinuität</w:t>
      </w:r>
      <w:r w:rsidR="00C97FE2">
        <w:t>smanagement</w:t>
      </w:r>
      <w:r w:rsidRPr="00C2613E">
        <w:t xml:space="preserve"> inklusive </w:t>
      </w:r>
      <w:r w:rsidR="004121A7">
        <w:t>Not</w:t>
      </w:r>
      <w:r w:rsidR="00C97FE2">
        <w:t>fallmanagement</w:t>
      </w:r>
      <w:r w:rsidRPr="00C2613E">
        <w:t>plan und Wieder</w:t>
      </w:r>
      <w:r w:rsidR="00C97FE2">
        <w:t>herstellungs</w:t>
      </w:r>
      <w:r w:rsidRPr="00C2613E">
        <w:t>pläne</w:t>
      </w:r>
    </w:p>
    <w:p w14:paraId="3E0C13A4" w14:textId="77777777" w:rsidR="00297F33" w:rsidRPr="00C2613E" w:rsidRDefault="00297F33" w:rsidP="00297F33"/>
    <w:p w14:paraId="705A4A86" w14:textId="77777777" w:rsidR="00297F33" w:rsidRPr="00C2613E" w:rsidRDefault="00297F33" w:rsidP="00297F33">
      <w:pPr>
        <w:pStyle w:val="Heading1"/>
      </w:pPr>
      <w:bookmarkStart w:id="25" w:name="_Toc263097441"/>
      <w:bookmarkStart w:id="26" w:name="_Toc36835881"/>
      <w:r w:rsidRPr="00C2613E">
        <w:t>Strateg</w:t>
      </w:r>
      <w:r w:rsidR="007C1B8A" w:rsidRPr="00C2613E">
        <w:t>ie-Grundlagen</w:t>
      </w:r>
      <w:bookmarkEnd w:id="25"/>
      <w:bookmarkEnd w:id="26"/>
    </w:p>
    <w:p w14:paraId="6413B4E5" w14:textId="77777777" w:rsidR="003B036F" w:rsidRPr="00C2613E" w:rsidRDefault="003B036F" w:rsidP="003B036F">
      <w:r w:rsidRPr="00C2613E">
        <w:t xml:space="preserve">Diese Strategie </w:t>
      </w:r>
      <w:r>
        <w:t xml:space="preserve">und zugehörige </w:t>
      </w:r>
      <w:commentRangeStart w:id="27"/>
      <w:r>
        <w:t>Lösungen</w:t>
      </w:r>
      <w:commentRangeEnd w:id="27"/>
      <w:r>
        <w:rPr>
          <w:rStyle w:val="CommentReference"/>
        </w:rPr>
        <w:commentReference w:id="27"/>
      </w:r>
      <w:r>
        <w:t xml:space="preserve"> </w:t>
      </w:r>
      <w:r w:rsidRPr="00C2613E">
        <w:t>wurde</w:t>
      </w:r>
      <w:r>
        <w:t>n</w:t>
      </w:r>
      <w:r w:rsidRPr="00C2613E">
        <w:t xml:space="preserve"> auf Grundlage der Ergebnisse der Geschäftsauswirkungsanalyse und der Resultate von Risikobewertung und Risikobehandlung erstellt.</w:t>
      </w:r>
    </w:p>
    <w:p w14:paraId="739A3A77" w14:textId="77777777" w:rsidR="00297F33" w:rsidRPr="00C2613E" w:rsidRDefault="00647769" w:rsidP="00297F33">
      <w:pPr>
        <w:pStyle w:val="Heading2"/>
      </w:pPr>
      <w:bookmarkStart w:id="28" w:name="_Toc36835882"/>
      <w:r w:rsidRPr="00C2613E">
        <w:t>Geschäftsauswirkungsanalyse</w:t>
      </w:r>
      <w:bookmarkEnd w:id="28"/>
    </w:p>
    <w:p w14:paraId="4C2DCB41" w14:textId="77777777" w:rsidR="00B67CE2" w:rsidRPr="00C2613E" w:rsidRDefault="00B67CE2" w:rsidP="00B67CE2">
      <w:r w:rsidRPr="00C2613E">
        <w:t>Im Rahmen der Geschäftsauswirkungsanalyse wurde festgestellt, dass [</w:t>
      </w:r>
      <w:commentRangeStart w:id="29"/>
      <w:r w:rsidRPr="00C2613E">
        <w:t>Anzahl angeben</w:t>
      </w:r>
      <w:commentRangeEnd w:id="29"/>
      <w:r>
        <w:rPr>
          <w:rStyle w:val="CommentReference"/>
        </w:rPr>
        <w:commentReference w:id="29"/>
      </w:r>
      <w:r w:rsidRPr="00C2613E">
        <w:t xml:space="preserve">] Aktivitäten zur Bereitstellung der wichtigsten Produkte und Services benötigt werden – die Liste dieser Aktivitäten ist in Anhang 1 </w:t>
      </w:r>
      <w:r>
        <w:t xml:space="preserve">Zielvorgaben der Recovery Zeiten für Tätigkeiten </w:t>
      </w:r>
      <w:r w:rsidRPr="00C2613E">
        <w:t>enthalten.</w:t>
      </w:r>
    </w:p>
    <w:p w14:paraId="106BE6AE" w14:textId="77777777" w:rsidR="00B67CE2" w:rsidRPr="00C2613E" w:rsidRDefault="00B67CE2" w:rsidP="00B67CE2">
      <w:r w:rsidRPr="00C2613E">
        <w:t>Der maximal tolerierbare Störungszeitraum (die maximal akzeptable Ausfallzeit</w:t>
      </w:r>
      <w:r>
        <w:t>, MTA</w:t>
      </w:r>
      <w:r w:rsidRPr="00C2613E">
        <w:t xml:space="preserve">) für jede Aktivität wurde </w:t>
      </w:r>
      <w:r>
        <w:t xml:space="preserve">im jeweiligen </w:t>
      </w:r>
      <w:r w:rsidRPr="00C2613E">
        <w:t xml:space="preserve"> Fragebogen zur Geschäftsauswirkungsanalyse bestimmt – </w:t>
      </w:r>
      <w:r>
        <w:t>d</w:t>
      </w:r>
      <w:r w:rsidRPr="005945E5">
        <w:t xml:space="preserve">ie konsolidierten Ergebnisse finden Sie in Anhang </w:t>
      </w:r>
      <w:r>
        <w:t>1</w:t>
      </w:r>
      <w:r w:rsidRPr="005945E5">
        <w:t xml:space="preserve"> Ziel</w:t>
      </w:r>
      <w:r>
        <w:t>vorgaben der Recovery Zeiten für Tätigkeiten.</w:t>
      </w:r>
      <w:r w:rsidRPr="00C2613E">
        <w:t xml:space="preserve"> </w:t>
      </w:r>
    </w:p>
    <w:p w14:paraId="749890A2" w14:textId="77777777" w:rsidR="00297F33" w:rsidRPr="00C2613E" w:rsidRDefault="00732818" w:rsidP="00297F33">
      <w:r w:rsidRPr="00C2613E">
        <w:t>Anhang</w:t>
      </w:r>
      <w:r w:rsidR="00297F33" w:rsidRPr="00C2613E">
        <w:t xml:space="preserve"> 3 </w:t>
      </w:r>
      <w:r w:rsidR="00BE2D5B" w:rsidRPr="00C2613E">
        <w:t xml:space="preserve">legt die Zielsetzung für die </w:t>
      </w:r>
      <w:commentRangeStart w:id="30"/>
      <w:r w:rsidR="00BE2D5B" w:rsidRPr="00C2613E">
        <w:t>Wieder</w:t>
      </w:r>
      <w:r w:rsidR="005760CB">
        <w:t>herstellungs</w:t>
      </w:r>
      <w:r w:rsidR="00BE2D5B" w:rsidRPr="00C2613E">
        <w:t xml:space="preserve">zeit </w:t>
      </w:r>
      <w:commentRangeEnd w:id="30"/>
      <w:r w:rsidR="00684318">
        <w:rPr>
          <w:rStyle w:val="CommentReference"/>
        </w:rPr>
        <w:commentReference w:id="30"/>
      </w:r>
      <w:r w:rsidR="00BE2D5B" w:rsidRPr="00C2613E">
        <w:t xml:space="preserve">jeder Aktivität unter Berücksichtigung von Abhängigkeiten von anderen Aktivitäten fest. </w:t>
      </w:r>
    </w:p>
    <w:p w14:paraId="1BF184C6" w14:textId="77777777" w:rsidR="00297F33" w:rsidRPr="00C2613E" w:rsidRDefault="00647769" w:rsidP="00297F33">
      <w:pPr>
        <w:pStyle w:val="Heading2"/>
      </w:pPr>
      <w:bookmarkStart w:id="31" w:name="_Toc263097443"/>
      <w:bookmarkStart w:id="32" w:name="_Toc36835883"/>
      <w:commentRangeStart w:id="33"/>
      <w:r w:rsidRPr="00C2613E">
        <w:t>Risiko</w:t>
      </w:r>
      <w:r w:rsidR="00297F33" w:rsidRPr="00C2613E">
        <w:t>management</w:t>
      </w:r>
      <w:bookmarkEnd w:id="31"/>
      <w:commentRangeEnd w:id="33"/>
      <w:r w:rsidR="00684318">
        <w:rPr>
          <w:rStyle w:val="CommentReference"/>
          <w:b w:val="0"/>
        </w:rPr>
        <w:commentReference w:id="33"/>
      </w:r>
      <w:bookmarkEnd w:id="32"/>
    </w:p>
    <w:p w14:paraId="1B7F6564" w14:textId="77777777" w:rsidR="00297F33" w:rsidRPr="00C2613E" w:rsidRDefault="00913977" w:rsidP="00297F33">
      <w:r w:rsidRPr="00C2613E">
        <w:lastRenderedPageBreak/>
        <w:t xml:space="preserve">Die Bewertung von Risiken, die </w:t>
      </w:r>
      <w:r w:rsidR="00791BA6" w:rsidRPr="00C2613E">
        <w:t>Einfluss</w:t>
      </w:r>
      <w:r w:rsidRPr="00C2613E">
        <w:t xml:space="preserve"> auf die betriebliche Kontinuität haben könnten, ist in [</w:t>
      </w:r>
      <w:commentRangeStart w:id="34"/>
      <w:r w:rsidRPr="00C2613E">
        <w:t>Name des Dokuments</w:t>
      </w:r>
      <w:commentRangeEnd w:id="34"/>
      <w:r w:rsidR="003B036F">
        <w:rPr>
          <w:rStyle w:val="CommentReference"/>
        </w:rPr>
        <w:commentReference w:id="34"/>
      </w:r>
      <w:r w:rsidRPr="00C2613E">
        <w:t>] beschrieben. Folgendes sind di</w:t>
      </w:r>
      <w:r w:rsidR="005760CB">
        <w:t xml:space="preserve">e größten Risiken, die zu einem </w:t>
      </w:r>
      <w:r w:rsidR="004121A7">
        <w:t>Not</w:t>
      </w:r>
      <w:r w:rsidR="005760CB">
        <w:t xml:space="preserve">fall </w:t>
      </w:r>
      <w:r w:rsidRPr="00C2613E">
        <w:t>führen könnten (d.h. zu einer Geschäftsunterbrechung gemäß Risikobewertung):</w:t>
      </w:r>
    </w:p>
    <w:p w14:paraId="01616F6B" w14:textId="0BF5E1CB" w:rsidR="00297F33" w:rsidRPr="00C2613E" w:rsidRDefault="00297F33" w:rsidP="00297F33">
      <w:pPr>
        <w:numPr>
          <w:ilvl w:val="0"/>
          <w:numId w:val="9"/>
        </w:numPr>
      </w:pPr>
      <w:r w:rsidRPr="00C2613E">
        <w:t xml:space="preserve">  </w:t>
      </w:r>
      <w:r w:rsidR="003B036F">
        <w:rPr>
          <w:rFonts w:cs="Calibri"/>
        </w:rPr>
        <w:t>[</w:t>
      </w:r>
      <w:commentRangeStart w:id="35"/>
      <w:r w:rsidR="003B036F">
        <w:t>Liste</w:t>
      </w:r>
      <w:commentRangeEnd w:id="35"/>
      <w:r w:rsidR="003B036F">
        <w:rPr>
          <w:rStyle w:val="CommentReference"/>
        </w:rPr>
        <w:commentReference w:id="35"/>
      </w:r>
      <w:r w:rsidR="003B036F">
        <w:rPr>
          <w:rFonts w:cs="Calibri"/>
        </w:rPr>
        <w:t>]</w:t>
      </w:r>
    </w:p>
    <w:p w14:paraId="11FC174B" w14:textId="77777777" w:rsidR="00297F33" w:rsidRPr="00C2613E" w:rsidRDefault="00913977" w:rsidP="00297F33">
      <w:r w:rsidRPr="00C2613E">
        <w:t xml:space="preserve">Für alle genannten Risiken / </w:t>
      </w:r>
      <w:r w:rsidR="004121A7">
        <w:t>Not</w:t>
      </w:r>
      <w:r w:rsidRPr="00C2613E">
        <w:t>fälle ist es notwendig:</w:t>
      </w:r>
    </w:p>
    <w:p w14:paraId="0F164D4D" w14:textId="77777777" w:rsidR="00297F33" w:rsidRPr="00C2613E" w:rsidRDefault="00913977" w:rsidP="00297F33">
      <w:pPr>
        <w:numPr>
          <w:ilvl w:val="0"/>
          <w:numId w:val="9"/>
        </w:numPr>
        <w:spacing w:after="0"/>
      </w:pPr>
      <w:r w:rsidRPr="00C2613E">
        <w:t xml:space="preserve">präventive Maßnahmen </w:t>
      </w:r>
      <w:r w:rsidR="004B7DBC" w:rsidRPr="00C2613E">
        <w:t>durchzuführen,</w:t>
      </w:r>
      <w:r w:rsidRPr="00C2613E">
        <w:t xml:space="preserve"> um die Wahrscheinlichkeit solcher </w:t>
      </w:r>
      <w:r w:rsidR="004121A7">
        <w:t>Not</w:t>
      </w:r>
      <w:r w:rsidRPr="00C2613E">
        <w:t xml:space="preserve">fälle zu reduzieren – entsprechende Vorgehensweisen sind </w:t>
      </w:r>
      <w:r w:rsidR="00297F33" w:rsidRPr="00C2613E">
        <w:t>in [</w:t>
      </w:r>
      <w:commentRangeStart w:id="36"/>
      <w:r w:rsidRPr="00C2613E">
        <w:t>Name des Dokuments</w:t>
      </w:r>
      <w:commentRangeEnd w:id="36"/>
      <w:r w:rsidR="004F4963">
        <w:rPr>
          <w:rStyle w:val="CommentReference"/>
        </w:rPr>
        <w:commentReference w:id="36"/>
      </w:r>
      <w:r w:rsidR="00297F33" w:rsidRPr="00C2613E">
        <w:t>]</w:t>
      </w:r>
      <w:r w:rsidRPr="00C2613E">
        <w:t>beschrieben</w:t>
      </w:r>
    </w:p>
    <w:p w14:paraId="65A032AA" w14:textId="77777777" w:rsidR="00297F33" w:rsidRPr="00C2613E" w:rsidRDefault="00655748" w:rsidP="00297F33">
      <w:pPr>
        <w:numPr>
          <w:ilvl w:val="0"/>
          <w:numId w:val="9"/>
        </w:numPr>
        <w:spacing w:after="0"/>
      </w:pPr>
      <w:r w:rsidRPr="00C2613E">
        <w:t>präventive Maßnahmen durchzuführen, um die möglichen Konsequenzen solcher Vorfälle zu minimieren – diese Vorgehensweisen sind ebenso in [</w:t>
      </w:r>
      <w:commentRangeStart w:id="37"/>
      <w:r w:rsidRPr="00C2613E">
        <w:t>Name des Dokuments</w:t>
      </w:r>
      <w:commentRangeEnd w:id="37"/>
      <w:r w:rsidR="003B036F">
        <w:rPr>
          <w:rStyle w:val="CommentReference"/>
        </w:rPr>
        <w:commentReference w:id="37"/>
      </w:r>
      <w:r w:rsidRPr="00C2613E">
        <w:t>] beschrieben</w:t>
      </w:r>
    </w:p>
    <w:p w14:paraId="4DC481FB" w14:textId="77777777" w:rsidR="00297F33" w:rsidRPr="00C2613E" w:rsidRDefault="00A94B63" w:rsidP="00297F33">
      <w:pPr>
        <w:numPr>
          <w:ilvl w:val="0"/>
          <w:numId w:val="9"/>
        </w:numPr>
        <w:spacing w:after="0"/>
      </w:pPr>
      <w:r w:rsidRPr="00C2613E">
        <w:t xml:space="preserve">Szenarien von Ereignissen </w:t>
      </w:r>
      <w:r w:rsidR="00AB17E5" w:rsidRPr="00C2613E">
        <w:t>zu erstellen,</w:t>
      </w:r>
      <w:r w:rsidRPr="00C2613E">
        <w:t xml:space="preserve"> in denen beschrieben ist</w:t>
      </w:r>
      <w:r w:rsidR="004173F6" w:rsidRPr="00C2613E">
        <w:t>,</w:t>
      </w:r>
      <w:r w:rsidRPr="00C2613E">
        <w:t xml:space="preserve"> wie solche </w:t>
      </w:r>
      <w:r w:rsidR="004121A7">
        <w:t>Not</w:t>
      </w:r>
      <w:r w:rsidRPr="00C2613E">
        <w:t xml:space="preserve">fälle den Betrieb der Organisation beeinträchtigen könnten; Szenarien sind in Anhang 4 dieser Strategie enthalten und müssen </w:t>
      </w:r>
      <w:r w:rsidR="004173F6" w:rsidRPr="00C2613E">
        <w:t>später</w:t>
      </w:r>
      <w:r w:rsidRPr="00C2613E">
        <w:t xml:space="preserve"> für Testpläne genutzt werden</w:t>
      </w:r>
    </w:p>
    <w:p w14:paraId="06BB50A8" w14:textId="28AA741F" w:rsidR="00297F33" w:rsidRPr="00C2613E" w:rsidRDefault="00795A0A" w:rsidP="00297F33">
      <w:pPr>
        <w:numPr>
          <w:ilvl w:val="0"/>
          <w:numId w:val="9"/>
        </w:numPr>
      </w:pPr>
      <w:r>
        <w:t>…</w:t>
      </w:r>
    </w:p>
    <w:p w14:paraId="34410774" w14:textId="25BBAEC3" w:rsidR="00297F33" w:rsidRDefault="00297F33" w:rsidP="00197280">
      <w:pPr>
        <w:spacing w:after="0"/>
      </w:pPr>
    </w:p>
    <w:p w14:paraId="2C2C3C9E" w14:textId="055B8C3E" w:rsidR="00795A0A" w:rsidRDefault="00795A0A" w:rsidP="00197280">
      <w:pPr>
        <w:spacing w:after="0"/>
      </w:pPr>
    </w:p>
    <w:p w14:paraId="241FDFEC" w14:textId="2C5A6DED" w:rsidR="00795A0A" w:rsidRDefault="00795A0A" w:rsidP="00197280">
      <w:pPr>
        <w:spacing w:after="0"/>
      </w:pPr>
    </w:p>
    <w:p w14:paraId="79D40C26" w14:textId="77777777" w:rsidR="00795A0A" w:rsidRDefault="00795A0A" w:rsidP="00795A0A">
      <w:pPr>
        <w:spacing w:after="0"/>
        <w:jc w:val="center"/>
      </w:pPr>
      <w:r>
        <w:t>** ENDE DER KOSTENLOSEN VORSCHAU **</w:t>
      </w:r>
    </w:p>
    <w:p w14:paraId="56E30A2F" w14:textId="77777777" w:rsidR="00795A0A" w:rsidRDefault="00795A0A" w:rsidP="00795A0A">
      <w:pPr>
        <w:spacing w:after="0"/>
        <w:jc w:val="center"/>
      </w:pPr>
    </w:p>
    <w:p w14:paraId="5F0A9AFE" w14:textId="2A8F7405" w:rsidR="00795A0A" w:rsidRPr="00442EEE" w:rsidRDefault="00795A0A" w:rsidP="00795A0A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F6536">
          <w:rPr>
            <w:rStyle w:val="Hyperlink"/>
            <w:lang w:val="de-DE"/>
          </w:rPr>
          <w:t>https://advisera.com/27001academy/de/documentation/strategie-fuer-betriebliches-kontinuitaetsmanagement/</w:t>
        </w:r>
      </w:hyperlink>
      <w:r>
        <w:t xml:space="preserve"> </w:t>
      </w:r>
      <w:bookmarkStart w:id="38" w:name="_GoBack"/>
      <w:bookmarkEnd w:id="38"/>
      <w:r>
        <w:t xml:space="preserve"> </w:t>
      </w:r>
    </w:p>
    <w:p w14:paraId="2437F55D" w14:textId="77777777" w:rsidR="00795A0A" w:rsidRPr="00C2613E" w:rsidRDefault="00795A0A" w:rsidP="00197280">
      <w:pPr>
        <w:spacing w:after="0"/>
      </w:pPr>
    </w:p>
    <w:sectPr w:rsidR="00795A0A" w:rsidRPr="00C2613E" w:rsidSect="00297F3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01:00Z" w:initials="27A">
    <w:p w14:paraId="6DBDD8D1" w14:textId="77777777" w:rsidR="003B036F" w:rsidRPr="00684318" w:rsidRDefault="003B036F" w:rsidP="00684318">
      <w:pPr>
        <w:rPr>
          <w:rFonts w:eastAsia="Times New Roman"/>
          <w:sz w:val="20"/>
          <w:szCs w:val="20"/>
        </w:rPr>
      </w:pPr>
      <w:r w:rsidRPr="00684318">
        <w:rPr>
          <w:rFonts w:eastAsia="Times New Roman"/>
          <w:sz w:val="20"/>
          <w:szCs w:val="20"/>
        </w:rPr>
        <w:t xml:space="preserve">Um zu erlernen, wie Sie dieses Dokument ausfüllen und echte Beispiele darüber zu sehen, was Sie schreiben müssen, schauen Sie sich dieses Video-Tutorial an: </w:t>
      </w:r>
    </w:p>
    <w:p w14:paraId="2733B334" w14:textId="77777777" w:rsidR="003B036F" w:rsidRPr="00684318" w:rsidRDefault="003B036F" w:rsidP="0068431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684318">
        <w:rPr>
          <w:rFonts w:eastAsia="Times New Roman"/>
          <w:sz w:val="20"/>
          <w:szCs w:val="20"/>
          <w:lang w:val="en-US"/>
        </w:rPr>
        <w:t>“</w:t>
      </w:r>
      <w:r w:rsidRPr="00684318">
        <w:rPr>
          <w:rFonts w:eastAsia="Times New Roman"/>
          <w:color w:val="000000" w:themeColor="text1"/>
          <w:sz w:val="20"/>
          <w:szCs w:val="20"/>
          <w:lang w:val="en-US"/>
        </w:rPr>
        <w:t>How to Write Business Continuity Strategy According to ISO 22301</w:t>
      </w:r>
      <w:r w:rsidRPr="00684318">
        <w:rPr>
          <w:rFonts w:eastAsia="Times New Roman"/>
          <w:sz w:val="20"/>
          <w:szCs w:val="20"/>
          <w:lang w:val="en-US"/>
        </w:rPr>
        <w:t>”.</w:t>
      </w:r>
    </w:p>
    <w:p w14:paraId="056E8D50" w14:textId="77777777" w:rsidR="003B036F" w:rsidRPr="00684318" w:rsidRDefault="003B036F" w:rsidP="00684318">
      <w:pPr>
        <w:rPr>
          <w:rFonts w:eastAsia="Times New Roman"/>
          <w:sz w:val="20"/>
          <w:szCs w:val="20"/>
          <w:lang w:val="en-US"/>
        </w:rPr>
      </w:pPr>
    </w:p>
    <w:p w14:paraId="14650CFF" w14:textId="5B51018E" w:rsidR="003B036F" w:rsidRPr="003B036F" w:rsidRDefault="003B036F" w:rsidP="003B036F">
      <w:pPr>
        <w:rPr>
          <w:rFonts w:eastAsia="Times New Roman"/>
          <w:sz w:val="20"/>
          <w:szCs w:val="20"/>
        </w:rPr>
      </w:pPr>
      <w:r w:rsidRPr="003B036F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B036F">
        <w:rPr>
          <w:rFonts w:eastAsia="Times New Roman"/>
          <w:sz w:val="16"/>
          <w:szCs w:val="16"/>
        </w:rPr>
        <w:annotationRef/>
      </w:r>
    </w:p>
  </w:comment>
  <w:comment w:id="1" w:author="27001Academy" w:date="2017-08-24T23:01:00Z" w:initials="27A">
    <w:p w14:paraId="6FE0BDDD" w14:textId="3AA2B259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3:01:00Z" w:initials="27A">
    <w:p w14:paraId="120DFDCC" w14:textId="77777777" w:rsidR="003B036F" w:rsidRDefault="003B036F" w:rsidP="004F496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54E8">
        <w:rPr>
          <w:color w:val="000000" w:themeColor="text1"/>
        </w:rPr>
        <w:t xml:space="preserve">Hier erfahren Sie mehr über die Strategie für betriebliches Kontinuitätsmanagement: </w:t>
      </w:r>
    </w:p>
    <w:p w14:paraId="406976A2" w14:textId="77777777" w:rsidR="003B036F" w:rsidRDefault="003B036F" w:rsidP="004F4963">
      <w:pPr>
        <w:pStyle w:val="CommentText"/>
        <w:rPr>
          <w:color w:val="000000" w:themeColor="text1"/>
        </w:rPr>
      </w:pPr>
    </w:p>
    <w:p w14:paraId="3DCE4703" w14:textId="77777777" w:rsidR="003B036F" w:rsidRPr="00FB3B39" w:rsidRDefault="003B036F" w:rsidP="004F4963">
      <w:pPr>
        <w:pStyle w:val="CommentText"/>
        <w:rPr>
          <w:color w:val="000000" w:themeColor="text1"/>
        </w:rPr>
      </w:pPr>
      <w:r w:rsidRPr="00FB3B39">
        <w:rPr>
          <w:color w:val="000000" w:themeColor="text1"/>
        </w:rPr>
        <w:t>Kann eine Strategie für betriebliches Kontinuitätsmanagement Ihr Geld sparen?</w:t>
      </w:r>
    </w:p>
    <w:p w14:paraId="6329CE3A" w14:textId="32B0B701" w:rsidR="003B036F" w:rsidRPr="004F4963" w:rsidRDefault="00232ACA">
      <w:pPr>
        <w:pStyle w:val="CommentText"/>
      </w:pPr>
      <w:hyperlink r:id="rId1" w:history="1">
        <w:r w:rsidR="003B036F" w:rsidRPr="00F42D51">
          <w:rPr>
            <w:rStyle w:val="Hyperlink"/>
            <w:lang w:val="de-DE"/>
          </w:rPr>
          <w:t>https://advisera.com/27001academy/de/blog/2011/03/25/kann-eine-strategie-fur-betriebliches-kontinuitatsmanagement-ihr-geld-sparen/</w:t>
        </w:r>
      </w:hyperlink>
      <w:r w:rsidR="003B036F">
        <w:t xml:space="preserve"> </w:t>
      </w:r>
    </w:p>
  </w:comment>
  <w:comment w:id="3" w:author="27001Academy" w:date="2017-08-24T23:01:00Z" w:initials="27A">
    <w:p w14:paraId="23E0CB79" w14:textId="4C3C302B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3-26T11:56:00Z" w:initials="27A">
    <w:p w14:paraId="4EA60CB2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27" w:author="27001Academy [2]" w:date="2020-03-26T11:55:00Z" w:initials="27A">
    <w:p w14:paraId="630FA129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Lösungen beziehen sich auf organisatorische (z. B. Richtlinien und Verfahren), technische (z. B. Ausrüstung und Methoden) oder personelle (z. B. Schulungs-) Antworten, die zur Erfüllung von Strategien umgesetzt wurden.</w:t>
      </w:r>
    </w:p>
    <w:p w14:paraId="69A69847" w14:textId="77777777" w:rsidR="003B036F" w:rsidRDefault="003B036F" w:rsidP="003B036F">
      <w:pPr>
        <w:pStyle w:val="CommentText"/>
      </w:pPr>
    </w:p>
    <w:p w14:paraId="372CDBB2" w14:textId="77777777" w:rsidR="003B036F" w:rsidRDefault="003B036F" w:rsidP="003B036F">
      <w:pPr>
        <w:pStyle w:val="CommentText"/>
      </w:pPr>
      <w:r>
        <w:t>Eine Strategie für die Kontinuität kann beispielsweise die Verwendung eines alternativen Standorts sein. Zugehörige Lösungen sind, dass die Organisation den alternativen Standort bereitstellt oder Hausaufgaben für kritische Mitarbeiter festsetzt.</w:t>
      </w:r>
    </w:p>
  </w:comment>
  <w:comment w:id="29" w:author="27001Academy [2]" w:date="2020-03-26T11:55:00Z" w:initials="27A">
    <w:p w14:paraId="13DB6C56" w14:textId="77777777" w:rsidR="00B67CE2" w:rsidRDefault="00B67CE2" w:rsidP="00B67CE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45E5">
        <w:t xml:space="preserve">Bitte geben Sie hier die Anzahl der </w:t>
      </w:r>
      <w:r>
        <w:t>Tätigkeiten</w:t>
      </w:r>
      <w:r w:rsidRPr="005945E5">
        <w:t xml:space="preserve"> an, die Sie in Anhang 1 - </w:t>
      </w:r>
      <w:r w:rsidRPr="00C93250">
        <w:t>Zielvorgaben der Recovery-Zeiten für Tätigkeiten</w:t>
      </w:r>
      <w:r w:rsidRPr="005945E5">
        <w:t xml:space="preserve"> definiert haben.</w:t>
      </w:r>
    </w:p>
  </w:comment>
  <w:comment w:id="30" w:author="27001Academy" w:date="2019-03-11T10:53:00Z" w:initials="27A">
    <w:p w14:paraId="3C948401" w14:textId="18C4E4AC" w:rsidR="003B036F" w:rsidRDefault="003B036F">
      <w:pPr>
        <w:pStyle w:val="CommentText"/>
      </w:pPr>
      <w:r>
        <w:rPr>
          <w:rStyle w:val="CommentReference"/>
        </w:rPr>
        <w:annotationRef/>
      </w:r>
      <w:r w:rsidRPr="00684318">
        <w:t>Um mehr über dieses Thema zu erfahren, lesen Sie bitte diesen Artikel:</w:t>
      </w:r>
    </w:p>
    <w:p w14:paraId="54856C88" w14:textId="77777777" w:rsidR="003B036F" w:rsidRDefault="003B036F">
      <w:pPr>
        <w:pStyle w:val="CommentText"/>
      </w:pPr>
    </w:p>
    <w:p w14:paraId="1DA17347" w14:textId="1D9E2D16" w:rsidR="003B036F" w:rsidRPr="003B036F" w:rsidRDefault="003B036F">
      <w:pPr>
        <w:pStyle w:val="CommentText"/>
        <w:rPr>
          <w:lang w:val="en-US"/>
        </w:rPr>
      </w:pPr>
      <w:r w:rsidRPr="003B036F">
        <w:rPr>
          <w:lang w:val="en-US"/>
        </w:rPr>
        <w:t>Was ist der Unterschied zwischen Recovery Time Objective (RTO) und Recovery Point Objective (RPO)?</w:t>
      </w:r>
    </w:p>
    <w:p w14:paraId="58346B93" w14:textId="1BE00264" w:rsidR="003B036F" w:rsidRPr="003B036F" w:rsidRDefault="00232ACA">
      <w:pPr>
        <w:pStyle w:val="CommentText"/>
        <w:rPr>
          <w:lang w:val="en-US"/>
        </w:rPr>
      </w:pPr>
      <w:hyperlink r:id="rId2" w:history="1">
        <w:r w:rsidR="003B036F" w:rsidRPr="003B036F">
          <w:rPr>
            <w:rStyle w:val="Hyperlink"/>
            <w:lang w:val="en-US"/>
          </w:rPr>
          <w:t>https://advisera.com/27001academy/de/knowledgebase/was-ist-der-unterschied-zwischen-recovery-time-objective-rto-und-recovery-point-objective-rpo/</w:t>
        </w:r>
      </w:hyperlink>
      <w:r w:rsidR="003B036F" w:rsidRPr="003B036F">
        <w:rPr>
          <w:lang w:val="en-US"/>
        </w:rPr>
        <w:t xml:space="preserve"> </w:t>
      </w:r>
    </w:p>
  </w:comment>
  <w:comment w:id="33" w:author="27001Academy" w:date="2019-03-11T10:54:00Z" w:initials="27A">
    <w:p w14:paraId="7BC88706" w14:textId="40868CB0" w:rsidR="003B036F" w:rsidRDefault="003B036F">
      <w:pPr>
        <w:pStyle w:val="CommentText"/>
      </w:pPr>
      <w:r>
        <w:rPr>
          <w:rStyle w:val="CommentReference"/>
        </w:rPr>
        <w:annotationRef/>
      </w:r>
      <w:r w:rsidRPr="00684318">
        <w:t xml:space="preserve">Lesen Sie diesen Artikel, um den Unterschied zwischen der </w:t>
      </w:r>
      <w:r w:rsidRPr="00C2613E">
        <w:t>Geschäftsauswirkungsanalyse</w:t>
      </w:r>
      <w:r w:rsidRPr="00684318">
        <w:t xml:space="preserve"> und dem Risikomanagement zu verstehen:</w:t>
      </w:r>
    </w:p>
    <w:p w14:paraId="04D004FF" w14:textId="77777777" w:rsidR="003B036F" w:rsidRDefault="003B036F">
      <w:pPr>
        <w:pStyle w:val="CommentText"/>
      </w:pPr>
    </w:p>
    <w:p w14:paraId="3B5C61EF" w14:textId="52EF6897" w:rsidR="003B036F" w:rsidRPr="003B036F" w:rsidRDefault="003B036F">
      <w:pPr>
        <w:pStyle w:val="CommentText"/>
        <w:rPr>
          <w:lang w:val="en-US"/>
        </w:rPr>
      </w:pPr>
      <w:r w:rsidRPr="003B036F">
        <w:rPr>
          <w:lang w:val="en-US"/>
        </w:rPr>
        <w:t xml:space="preserve">Risk assessment vs. business impact analysis </w:t>
      </w:r>
      <w:hyperlink r:id="rId3" w:history="1">
        <w:r w:rsidRPr="006B36E3">
          <w:rPr>
            <w:rStyle w:val="Hyperlink"/>
          </w:rPr>
          <w:t>https://advisera.com/27001academy/knowledgebase/risk-assessment-vs-business-impact-analysis/</w:t>
        </w:r>
      </w:hyperlink>
      <w:r w:rsidRPr="003B036F">
        <w:rPr>
          <w:lang w:val="en-US"/>
        </w:rPr>
        <w:t xml:space="preserve"> </w:t>
      </w:r>
    </w:p>
  </w:comment>
  <w:comment w:id="34" w:author="27001Academy [2]" w:date="2020-04-03T19:40:00Z" w:initials="27A">
    <w:p w14:paraId="4AD1D090" w14:textId="7AEA9FDF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45E5">
        <w:t>Tragen Sie hier den Namen des in Abschnitt 2 genannten Risiko</w:t>
      </w:r>
      <w:r>
        <w:t>einschätzungs</w:t>
      </w:r>
      <w:r w:rsidRPr="005945E5">
        <w:t>sdokument</w:t>
      </w:r>
      <w:r>
        <w:t>e</w:t>
      </w:r>
      <w:r w:rsidRPr="005945E5">
        <w:t>s ein.</w:t>
      </w:r>
    </w:p>
  </w:comment>
  <w:comment w:id="35" w:author="27001Academy [2]" w:date="2020-03-26T11:56:00Z" w:initials="27A">
    <w:p w14:paraId="72E3EB94" w14:textId="77777777" w:rsidR="003B036F" w:rsidRDefault="003B036F" w:rsidP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inakzeptablen Risiken oder fünf bis zehn der größten Risiken auflisten.</w:t>
      </w:r>
    </w:p>
  </w:comment>
  <w:comment w:id="36" w:author="27001Academy" w:date="2017-08-24T23:03:00Z" w:initials="27A">
    <w:p w14:paraId="2E3C1ABF" w14:textId="5F1E0E4B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Risikobewertung entsprechend der ISO 27001 Methodik durchgeführt wurde, nennt sich das Dokument „Risikobehandlungsplan“.</w:t>
      </w:r>
    </w:p>
  </w:comment>
  <w:comment w:id="37" w:author="27001Academy [2]" w:date="2020-04-03T19:41:00Z" w:initials="27A">
    <w:p w14:paraId="2DE99B86" w14:textId="0205A891" w:rsidR="003B036F" w:rsidRDefault="003B03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Risikobewertung entsprechend der ISO 27001 Methodik durchgeführt wurde, nennt sich das Dokument „Risikobehandlungsplan“.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650CFF" w15:done="0"/>
  <w15:commentEx w15:paraId="6FE0BDDD" w15:done="0"/>
  <w15:commentEx w15:paraId="6329CE3A" w15:done="0"/>
  <w15:commentEx w15:paraId="23E0CB79" w15:done="0"/>
  <w15:commentEx w15:paraId="4EA60CB2" w15:done="0"/>
  <w15:commentEx w15:paraId="372CDBB2" w15:done="0"/>
  <w15:commentEx w15:paraId="13DB6C56" w15:done="0"/>
  <w15:commentEx w15:paraId="58346B93" w15:done="0"/>
  <w15:commentEx w15:paraId="3B5C61EF" w15:done="0"/>
  <w15:commentEx w15:paraId="4AD1D090" w15:done="0"/>
  <w15:commentEx w15:paraId="72E3EB94" w15:done="0"/>
  <w15:commentEx w15:paraId="2E3C1ABF" w15:done="0"/>
  <w15:commentEx w15:paraId="2DE99B8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B8D7F" w14:textId="77777777" w:rsidR="00232ACA" w:rsidRDefault="00232ACA" w:rsidP="00297F33">
      <w:pPr>
        <w:spacing w:after="0" w:line="240" w:lineRule="auto"/>
      </w:pPr>
      <w:r>
        <w:separator/>
      </w:r>
    </w:p>
  </w:endnote>
  <w:endnote w:type="continuationSeparator" w:id="0">
    <w:p w14:paraId="4220A6B9" w14:textId="77777777" w:rsidR="00232ACA" w:rsidRDefault="00232ACA" w:rsidP="0029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410"/>
      <w:gridCol w:w="3685"/>
    </w:tblGrid>
    <w:tr w:rsidR="003B036F" w:rsidRPr="006571EC" w14:paraId="29AF3E0B" w14:textId="77777777" w:rsidTr="00D633CC">
      <w:tc>
        <w:tcPr>
          <w:tcW w:w="3227" w:type="dxa"/>
        </w:tcPr>
        <w:p w14:paraId="146CA43D" w14:textId="77777777" w:rsidR="003B036F" w:rsidRPr="00CB2178" w:rsidRDefault="003B036F" w:rsidP="00297F3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Strategie für betriebliches Kontinuitätsmanagement</w:t>
          </w:r>
        </w:p>
      </w:tc>
      <w:tc>
        <w:tcPr>
          <w:tcW w:w="2410" w:type="dxa"/>
        </w:tcPr>
        <w:p w14:paraId="26E5863D" w14:textId="77777777" w:rsidR="003B036F" w:rsidRPr="00CB2178" w:rsidRDefault="003B036F" w:rsidP="00297F3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E5B8FFA" w14:textId="324881BE" w:rsidR="003B036F" w:rsidRPr="00CB2178" w:rsidRDefault="003B036F" w:rsidP="00297F3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795A0A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795A0A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42EBE5C4" w14:textId="6A6BE148" w:rsidR="003B036F" w:rsidRPr="004B1E43" w:rsidRDefault="003B036F" w:rsidP="003B03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B036F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516B1" w14:textId="540CB01F" w:rsidR="003B036F" w:rsidRPr="003B036F" w:rsidRDefault="003B036F" w:rsidP="003B036F">
    <w:pPr>
      <w:pStyle w:val="Footer"/>
      <w:jc w:val="center"/>
    </w:pPr>
    <w:r w:rsidRPr="003B036F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27F30" w14:textId="77777777" w:rsidR="00232ACA" w:rsidRDefault="00232ACA" w:rsidP="00297F33">
      <w:pPr>
        <w:spacing w:after="0" w:line="240" w:lineRule="auto"/>
      </w:pPr>
      <w:r>
        <w:separator/>
      </w:r>
    </w:p>
  </w:footnote>
  <w:footnote w:type="continuationSeparator" w:id="0">
    <w:p w14:paraId="409F89C9" w14:textId="77777777" w:rsidR="00232ACA" w:rsidRDefault="00232ACA" w:rsidP="00297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B036F" w:rsidRPr="006571EC" w14:paraId="19557705" w14:textId="77777777" w:rsidTr="00297F33">
      <w:tc>
        <w:tcPr>
          <w:tcW w:w="6771" w:type="dxa"/>
        </w:tcPr>
        <w:p w14:paraId="3860116B" w14:textId="77777777" w:rsidR="003B036F" w:rsidRPr="00CB2178" w:rsidRDefault="003B036F" w:rsidP="00297F3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5888F615" w14:textId="77777777" w:rsidR="003B036F" w:rsidRPr="00CB2178" w:rsidRDefault="003B036F" w:rsidP="00297F3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EC3CA29" w14:textId="77777777" w:rsidR="003B036F" w:rsidRPr="003056B2" w:rsidRDefault="003B036F" w:rsidP="00297F3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84D14"/>
    <w:multiLevelType w:val="hybridMultilevel"/>
    <w:tmpl w:val="B3E883CC"/>
    <w:lvl w:ilvl="0" w:tplc="4DCC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A606E" w:tentative="1">
      <w:start w:val="1"/>
      <w:numFmt w:val="lowerLetter"/>
      <w:lvlText w:val="%2."/>
      <w:lvlJc w:val="left"/>
      <w:pPr>
        <w:ind w:left="1440" w:hanging="360"/>
      </w:pPr>
    </w:lvl>
    <w:lvl w:ilvl="2" w:tplc="F2D6BBD0" w:tentative="1">
      <w:start w:val="1"/>
      <w:numFmt w:val="lowerRoman"/>
      <w:lvlText w:val="%3."/>
      <w:lvlJc w:val="right"/>
      <w:pPr>
        <w:ind w:left="2160" w:hanging="180"/>
      </w:pPr>
    </w:lvl>
    <w:lvl w:ilvl="3" w:tplc="B89E341A" w:tentative="1">
      <w:start w:val="1"/>
      <w:numFmt w:val="decimal"/>
      <w:lvlText w:val="%4."/>
      <w:lvlJc w:val="left"/>
      <w:pPr>
        <w:ind w:left="2880" w:hanging="360"/>
      </w:pPr>
    </w:lvl>
    <w:lvl w:ilvl="4" w:tplc="1708123E" w:tentative="1">
      <w:start w:val="1"/>
      <w:numFmt w:val="lowerLetter"/>
      <w:lvlText w:val="%5."/>
      <w:lvlJc w:val="left"/>
      <w:pPr>
        <w:ind w:left="3600" w:hanging="360"/>
      </w:pPr>
    </w:lvl>
    <w:lvl w:ilvl="5" w:tplc="4500983A" w:tentative="1">
      <w:start w:val="1"/>
      <w:numFmt w:val="lowerRoman"/>
      <w:lvlText w:val="%6."/>
      <w:lvlJc w:val="right"/>
      <w:pPr>
        <w:ind w:left="4320" w:hanging="180"/>
      </w:pPr>
    </w:lvl>
    <w:lvl w:ilvl="6" w:tplc="77764794" w:tentative="1">
      <w:start w:val="1"/>
      <w:numFmt w:val="decimal"/>
      <w:lvlText w:val="%7."/>
      <w:lvlJc w:val="left"/>
      <w:pPr>
        <w:ind w:left="5040" w:hanging="360"/>
      </w:pPr>
    </w:lvl>
    <w:lvl w:ilvl="7" w:tplc="7B7A9E0C" w:tentative="1">
      <w:start w:val="1"/>
      <w:numFmt w:val="lowerLetter"/>
      <w:lvlText w:val="%8."/>
      <w:lvlJc w:val="left"/>
      <w:pPr>
        <w:ind w:left="5760" w:hanging="360"/>
      </w:pPr>
    </w:lvl>
    <w:lvl w:ilvl="8" w:tplc="D92AB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D056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CCA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299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ECE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A8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808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A0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C30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CD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6A77"/>
    <w:multiLevelType w:val="hybridMultilevel"/>
    <w:tmpl w:val="D66CA80E"/>
    <w:lvl w:ilvl="0" w:tplc="A39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03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68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A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DE0B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63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89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E06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04A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A3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C1F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A6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284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D42AD"/>
    <w:multiLevelType w:val="hybridMultilevel"/>
    <w:tmpl w:val="478E6896"/>
    <w:lvl w:ilvl="0" w:tplc="8912E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4B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8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42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6D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E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4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644F83"/>
    <w:multiLevelType w:val="hybridMultilevel"/>
    <w:tmpl w:val="3E129AE4"/>
    <w:lvl w:ilvl="0" w:tplc="304E7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83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D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44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0A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A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87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63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9618A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606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02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E9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43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3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AF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44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09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04F6"/>
    <w:multiLevelType w:val="hybridMultilevel"/>
    <w:tmpl w:val="F7F86D04"/>
    <w:lvl w:ilvl="0" w:tplc="024C5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A9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E049DEE" w:tentative="1">
      <w:start w:val="1"/>
      <w:numFmt w:val="lowerRoman"/>
      <w:lvlText w:val="%3."/>
      <w:lvlJc w:val="right"/>
      <w:pPr>
        <w:ind w:left="2160" w:hanging="180"/>
      </w:pPr>
    </w:lvl>
    <w:lvl w:ilvl="3" w:tplc="4466519C" w:tentative="1">
      <w:start w:val="1"/>
      <w:numFmt w:val="decimal"/>
      <w:lvlText w:val="%4."/>
      <w:lvlJc w:val="left"/>
      <w:pPr>
        <w:ind w:left="2880" w:hanging="360"/>
      </w:pPr>
    </w:lvl>
    <w:lvl w:ilvl="4" w:tplc="52CE1ACA" w:tentative="1">
      <w:start w:val="1"/>
      <w:numFmt w:val="lowerLetter"/>
      <w:lvlText w:val="%5."/>
      <w:lvlJc w:val="left"/>
      <w:pPr>
        <w:ind w:left="3600" w:hanging="360"/>
      </w:pPr>
    </w:lvl>
    <w:lvl w:ilvl="5" w:tplc="41B4F252" w:tentative="1">
      <w:start w:val="1"/>
      <w:numFmt w:val="lowerRoman"/>
      <w:lvlText w:val="%6."/>
      <w:lvlJc w:val="right"/>
      <w:pPr>
        <w:ind w:left="4320" w:hanging="180"/>
      </w:pPr>
    </w:lvl>
    <w:lvl w:ilvl="6" w:tplc="CC42A994" w:tentative="1">
      <w:start w:val="1"/>
      <w:numFmt w:val="decimal"/>
      <w:lvlText w:val="%7."/>
      <w:lvlJc w:val="left"/>
      <w:pPr>
        <w:ind w:left="5040" w:hanging="360"/>
      </w:pPr>
    </w:lvl>
    <w:lvl w:ilvl="7" w:tplc="3C8AF4F6" w:tentative="1">
      <w:start w:val="1"/>
      <w:numFmt w:val="lowerLetter"/>
      <w:lvlText w:val="%8."/>
      <w:lvlJc w:val="left"/>
      <w:pPr>
        <w:ind w:left="5760" w:hanging="360"/>
      </w:pPr>
    </w:lvl>
    <w:lvl w:ilvl="8" w:tplc="329A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3337D"/>
    <w:multiLevelType w:val="hybridMultilevel"/>
    <w:tmpl w:val="2458CE32"/>
    <w:lvl w:ilvl="0" w:tplc="2AB6E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1E7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F20E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25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0D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8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CA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88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9EA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3E11"/>
    <w:multiLevelType w:val="hybridMultilevel"/>
    <w:tmpl w:val="C6148D18"/>
    <w:lvl w:ilvl="0" w:tplc="6178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A6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8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EB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6F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C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E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0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85D64"/>
    <w:multiLevelType w:val="hybridMultilevel"/>
    <w:tmpl w:val="1CAE9B3C"/>
    <w:lvl w:ilvl="0" w:tplc="3FAC2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C6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C5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8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EC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6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86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B3408"/>
    <w:multiLevelType w:val="hybridMultilevel"/>
    <w:tmpl w:val="BC50BECA"/>
    <w:lvl w:ilvl="0" w:tplc="E2BCEA78">
      <w:start w:val="1"/>
      <w:numFmt w:val="decimal"/>
      <w:lvlText w:val="%1."/>
      <w:lvlJc w:val="left"/>
      <w:pPr>
        <w:ind w:left="720" w:hanging="360"/>
      </w:pPr>
    </w:lvl>
    <w:lvl w:ilvl="1" w:tplc="7F823CA2" w:tentative="1">
      <w:start w:val="1"/>
      <w:numFmt w:val="lowerLetter"/>
      <w:lvlText w:val="%2."/>
      <w:lvlJc w:val="left"/>
      <w:pPr>
        <w:ind w:left="1440" w:hanging="360"/>
      </w:pPr>
    </w:lvl>
    <w:lvl w:ilvl="2" w:tplc="7F485360" w:tentative="1">
      <w:start w:val="1"/>
      <w:numFmt w:val="lowerRoman"/>
      <w:lvlText w:val="%3."/>
      <w:lvlJc w:val="right"/>
      <w:pPr>
        <w:ind w:left="2160" w:hanging="180"/>
      </w:pPr>
    </w:lvl>
    <w:lvl w:ilvl="3" w:tplc="ECC6E6E6" w:tentative="1">
      <w:start w:val="1"/>
      <w:numFmt w:val="decimal"/>
      <w:lvlText w:val="%4."/>
      <w:lvlJc w:val="left"/>
      <w:pPr>
        <w:ind w:left="2880" w:hanging="360"/>
      </w:pPr>
    </w:lvl>
    <w:lvl w:ilvl="4" w:tplc="AE12793C" w:tentative="1">
      <w:start w:val="1"/>
      <w:numFmt w:val="lowerLetter"/>
      <w:lvlText w:val="%5."/>
      <w:lvlJc w:val="left"/>
      <w:pPr>
        <w:ind w:left="3600" w:hanging="360"/>
      </w:pPr>
    </w:lvl>
    <w:lvl w:ilvl="5" w:tplc="92485EAE" w:tentative="1">
      <w:start w:val="1"/>
      <w:numFmt w:val="lowerRoman"/>
      <w:lvlText w:val="%6."/>
      <w:lvlJc w:val="right"/>
      <w:pPr>
        <w:ind w:left="4320" w:hanging="180"/>
      </w:pPr>
    </w:lvl>
    <w:lvl w:ilvl="6" w:tplc="B36CCA54" w:tentative="1">
      <w:start w:val="1"/>
      <w:numFmt w:val="decimal"/>
      <w:lvlText w:val="%7."/>
      <w:lvlJc w:val="left"/>
      <w:pPr>
        <w:ind w:left="5040" w:hanging="360"/>
      </w:pPr>
    </w:lvl>
    <w:lvl w:ilvl="7" w:tplc="868C39E0" w:tentative="1">
      <w:start w:val="1"/>
      <w:numFmt w:val="lowerLetter"/>
      <w:lvlText w:val="%8."/>
      <w:lvlJc w:val="left"/>
      <w:pPr>
        <w:ind w:left="5760" w:hanging="360"/>
      </w:pPr>
    </w:lvl>
    <w:lvl w:ilvl="8" w:tplc="D20A4E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7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71"/>
    <w:rsid w:val="000046B8"/>
    <w:rsid w:val="00007430"/>
    <w:rsid w:val="0001480F"/>
    <w:rsid w:val="00024332"/>
    <w:rsid w:val="000405A3"/>
    <w:rsid w:val="00044C55"/>
    <w:rsid w:val="00056E4E"/>
    <w:rsid w:val="00061DBA"/>
    <w:rsid w:val="00066E46"/>
    <w:rsid w:val="00067D9D"/>
    <w:rsid w:val="0007036A"/>
    <w:rsid w:val="00071346"/>
    <w:rsid w:val="00077033"/>
    <w:rsid w:val="00077B2D"/>
    <w:rsid w:val="000827DF"/>
    <w:rsid w:val="00084421"/>
    <w:rsid w:val="0008494B"/>
    <w:rsid w:val="00092386"/>
    <w:rsid w:val="0009420B"/>
    <w:rsid w:val="000A7BF9"/>
    <w:rsid w:val="000B2DEC"/>
    <w:rsid w:val="000B6B84"/>
    <w:rsid w:val="000C454E"/>
    <w:rsid w:val="000E2C91"/>
    <w:rsid w:val="000F5E28"/>
    <w:rsid w:val="001032D2"/>
    <w:rsid w:val="00112F3B"/>
    <w:rsid w:val="0012475C"/>
    <w:rsid w:val="001255D0"/>
    <w:rsid w:val="001358D1"/>
    <w:rsid w:val="00136224"/>
    <w:rsid w:val="00141B20"/>
    <w:rsid w:val="0014409B"/>
    <w:rsid w:val="00156E7C"/>
    <w:rsid w:val="001616F0"/>
    <w:rsid w:val="00161BA2"/>
    <w:rsid w:val="001623D1"/>
    <w:rsid w:val="001706A1"/>
    <w:rsid w:val="00173DC6"/>
    <w:rsid w:val="001743E6"/>
    <w:rsid w:val="00183224"/>
    <w:rsid w:val="00193A94"/>
    <w:rsid w:val="00193B2E"/>
    <w:rsid w:val="00196AE3"/>
    <w:rsid w:val="00197280"/>
    <w:rsid w:val="00197B7F"/>
    <w:rsid w:val="001A41BE"/>
    <w:rsid w:val="001A7C4A"/>
    <w:rsid w:val="001B0852"/>
    <w:rsid w:val="001B2B3E"/>
    <w:rsid w:val="001D1EEF"/>
    <w:rsid w:val="001D5A18"/>
    <w:rsid w:val="00200BC2"/>
    <w:rsid w:val="00201F63"/>
    <w:rsid w:val="002048F3"/>
    <w:rsid w:val="0021647C"/>
    <w:rsid w:val="0022578C"/>
    <w:rsid w:val="00232ACA"/>
    <w:rsid w:val="002571BB"/>
    <w:rsid w:val="00264A83"/>
    <w:rsid w:val="002666F9"/>
    <w:rsid w:val="00271800"/>
    <w:rsid w:val="00272211"/>
    <w:rsid w:val="00297F33"/>
    <w:rsid w:val="002A6877"/>
    <w:rsid w:val="002C1B49"/>
    <w:rsid w:val="002D6001"/>
    <w:rsid w:val="002E6029"/>
    <w:rsid w:val="002F542C"/>
    <w:rsid w:val="003005BB"/>
    <w:rsid w:val="00305935"/>
    <w:rsid w:val="00326865"/>
    <w:rsid w:val="00326950"/>
    <w:rsid w:val="0033045B"/>
    <w:rsid w:val="003351F4"/>
    <w:rsid w:val="00336169"/>
    <w:rsid w:val="0035790F"/>
    <w:rsid w:val="0036276F"/>
    <w:rsid w:val="003745EC"/>
    <w:rsid w:val="003851C2"/>
    <w:rsid w:val="00397061"/>
    <w:rsid w:val="003A14F1"/>
    <w:rsid w:val="003A59AE"/>
    <w:rsid w:val="003B036F"/>
    <w:rsid w:val="003C1FFA"/>
    <w:rsid w:val="003D7956"/>
    <w:rsid w:val="003E0A4D"/>
    <w:rsid w:val="00400E99"/>
    <w:rsid w:val="004121A7"/>
    <w:rsid w:val="004173F6"/>
    <w:rsid w:val="0042101A"/>
    <w:rsid w:val="00437106"/>
    <w:rsid w:val="004512AE"/>
    <w:rsid w:val="00453010"/>
    <w:rsid w:val="004547B1"/>
    <w:rsid w:val="004579D4"/>
    <w:rsid w:val="00460CBD"/>
    <w:rsid w:val="00464AFC"/>
    <w:rsid w:val="004677C0"/>
    <w:rsid w:val="00475F84"/>
    <w:rsid w:val="00485959"/>
    <w:rsid w:val="00490CCA"/>
    <w:rsid w:val="004A1A91"/>
    <w:rsid w:val="004A1B7F"/>
    <w:rsid w:val="004A7108"/>
    <w:rsid w:val="004B0717"/>
    <w:rsid w:val="004B2DC3"/>
    <w:rsid w:val="004B5FE3"/>
    <w:rsid w:val="004B7DBC"/>
    <w:rsid w:val="004B7E47"/>
    <w:rsid w:val="004D2E3C"/>
    <w:rsid w:val="004D3E02"/>
    <w:rsid w:val="004F4963"/>
    <w:rsid w:val="0050434E"/>
    <w:rsid w:val="00512AE6"/>
    <w:rsid w:val="00513B51"/>
    <w:rsid w:val="00516B65"/>
    <w:rsid w:val="00522A0D"/>
    <w:rsid w:val="00524BCC"/>
    <w:rsid w:val="00526169"/>
    <w:rsid w:val="00533A5C"/>
    <w:rsid w:val="00535BE3"/>
    <w:rsid w:val="00541E5D"/>
    <w:rsid w:val="00543644"/>
    <w:rsid w:val="00543C0C"/>
    <w:rsid w:val="00552930"/>
    <w:rsid w:val="0055483E"/>
    <w:rsid w:val="00575FEE"/>
    <w:rsid w:val="005760CB"/>
    <w:rsid w:val="005769F8"/>
    <w:rsid w:val="0058157D"/>
    <w:rsid w:val="00582A30"/>
    <w:rsid w:val="00583A78"/>
    <w:rsid w:val="005847D1"/>
    <w:rsid w:val="00584836"/>
    <w:rsid w:val="00592D7F"/>
    <w:rsid w:val="00593D3A"/>
    <w:rsid w:val="005B28A2"/>
    <w:rsid w:val="005D7494"/>
    <w:rsid w:val="005D7B71"/>
    <w:rsid w:val="006035C1"/>
    <w:rsid w:val="00604980"/>
    <w:rsid w:val="00621C1B"/>
    <w:rsid w:val="00633A21"/>
    <w:rsid w:val="006363DA"/>
    <w:rsid w:val="006412A7"/>
    <w:rsid w:val="00647769"/>
    <w:rsid w:val="00647A23"/>
    <w:rsid w:val="00647B46"/>
    <w:rsid w:val="006503B8"/>
    <w:rsid w:val="00655748"/>
    <w:rsid w:val="00655C52"/>
    <w:rsid w:val="00684318"/>
    <w:rsid w:val="006876B6"/>
    <w:rsid w:val="0069040B"/>
    <w:rsid w:val="006A4ABD"/>
    <w:rsid w:val="006A5475"/>
    <w:rsid w:val="006A5A65"/>
    <w:rsid w:val="006B7B47"/>
    <w:rsid w:val="006C2EF9"/>
    <w:rsid w:val="006D549F"/>
    <w:rsid w:val="006D5FAE"/>
    <w:rsid w:val="006E3645"/>
    <w:rsid w:val="006E39BF"/>
    <w:rsid w:val="006E3F5E"/>
    <w:rsid w:val="006E4E39"/>
    <w:rsid w:val="007007AD"/>
    <w:rsid w:val="00703F50"/>
    <w:rsid w:val="00712FBA"/>
    <w:rsid w:val="00713225"/>
    <w:rsid w:val="00732818"/>
    <w:rsid w:val="00732863"/>
    <w:rsid w:val="00733F6D"/>
    <w:rsid w:val="00736AC8"/>
    <w:rsid w:val="00737745"/>
    <w:rsid w:val="0074600E"/>
    <w:rsid w:val="00747EC8"/>
    <w:rsid w:val="0075691C"/>
    <w:rsid w:val="00757C8E"/>
    <w:rsid w:val="007604E3"/>
    <w:rsid w:val="007606B0"/>
    <w:rsid w:val="0077207E"/>
    <w:rsid w:val="007737C9"/>
    <w:rsid w:val="00777DF9"/>
    <w:rsid w:val="00787925"/>
    <w:rsid w:val="0079156F"/>
    <w:rsid w:val="00791BA6"/>
    <w:rsid w:val="007935EE"/>
    <w:rsid w:val="00793834"/>
    <w:rsid w:val="00795A0A"/>
    <w:rsid w:val="007A3D44"/>
    <w:rsid w:val="007B01D7"/>
    <w:rsid w:val="007B75E0"/>
    <w:rsid w:val="007C1B8A"/>
    <w:rsid w:val="00802BB9"/>
    <w:rsid w:val="00810439"/>
    <w:rsid w:val="00815097"/>
    <w:rsid w:val="008307C2"/>
    <w:rsid w:val="0083154C"/>
    <w:rsid w:val="00834046"/>
    <w:rsid w:val="00841198"/>
    <w:rsid w:val="00843DDF"/>
    <w:rsid w:val="0085776C"/>
    <w:rsid w:val="00864C7E"/>
    <w:rsid w:val="008655B3"/>
    <w:rsid w:val="00883BE3"/>
    <w:rsid w:val="00884A67"/>
    <w:rsid w:val="00890345"/>
    <w:rsid w:val="00895438"/>
    <w:rsid w:val="00897E6A"/>
    <w:rsid w:val="008A4636"/>
    <w:rsid w:val="008C0712"/>
    <w:rsid w:val="008D7AC8"/>
    <w:rsid w:val="008E09E7"/>
    <w:rsid w:val="009137E4"/>
    <w:rsid w:val="00913977"/>
    <w:rsid w:val="0091464B"/>
    <w:rsid w:val="00927234"/>
    <w:rsid w:val="00927DFD"/>
    <w:rsid w:val="0094107A"/>
    <w:rsid w:val="00945689"/>
    <w:rsid w:val="00954208"/>
    <w:rsid w:val="009543EC"/>
    <w:rsid w:val="00955817"/>
    <w:rsid w:val="00963E51"/>
    <w:rsid w:val="00966C18"/>
    <w:rsid w:val="00975C24"/>
    <w:rsid w:val="009A1EFE"/>
    <w:rsid w:val="009A538F"/>
    <w:rsid w:val="009B5702"/>
    <w:rsid w:val="009E33E0"/>
    <w:rsid w:val="009E4105"/>
    <w:rsid w:val="009E4C4C"/>
    <w:rsid w:val="00A05683"/>
    <w:rsid w:val="00A0583D"/>
    <w:rsid w:val="00A06C7C"/>
    <w:rsid w:val="00A11E7D"/>
    <w:rsid w:val="00A14B6C"/>
    <w:rsid w:val="00A14E99"/>
    <w:rsid w:val="00A153BB"/>
    <w:rsid w:val="00A17054"/>
    <w:rsid w:val="00A2361A"/>
    <w:rsid w:val="00A3307B"/>
    <w:rsid w:val="00A4485F"/>
    <w:rsid w:val="00A47DCB"/>
    <w:rsid w:val="00A63A62"/>
    <w:rsid w:val="00A66180"/>
    <w:rsid w:val="00A71A55"/>
    <w:rsid w:val="00A74517"/>
    <w:rsid w:val="00A7512B"/>
    <w:rsid w:val="00A7603B"/>
    <w:rsid w:val="00A80A56"/>
    <w:rsid w:val="00A81183"/>
    <w:rsid w:val="00A843A2"/>
    <w:rsid w:val="00A91340"/>
    <w:rsid w:val="00A933D0"/>
    <w:rsid w:val="00A941FD"/>
    <w:rsid w:val="00A94B63"/>
    <w:rsid w:val="00AA41E8"/>
    <w:rsid w:val="00AA793A"/>
    <w:rsid w:val="00AB17E5"/>
    <w:rsid w:val="00AB7AB1"/>
    <w:rsid w:val="00AC33DA"/>
    <w:rsid w:val="00AC7B32"/>
    <w:rsid w:val="00AE6A2F"/>
    <w:rsid w:val="00AF5173"/>
    <w:rsid w:val="00AF65F3"/>
    <w:rsid w:val="00B06D8F"/>
    <w:rsid w:val="00B14E8E"/>
    <w:rsid w:val="00B15D71"/>
    <w:rsid w:val="00B172C5"/>
    <w:rsid w:val="00B224E4"/>
    <w:rsid w:val="00B30772"/>
    <w:rsid w:val="00B5314E"/>
    <w:rsid w:val="00B63CAC"/>
    <w:rsid w:val="00B6652B"/>
    <w:rsid w:val="00B6762C"/>
    <w:rsid w:val="00B67CE2"/>
    <w:rsid w:val="00B711FB"/>
    <w:rsid w:val="00B805AA"/>
    <w:rsid w:val="00B84C83"/>
    <w:rsid w:val="00B85F76"/>
    <w:rsid w:val="00B91CF3"/>
    <w:rsid w:val="00B9384F"/>
    <w:rsid w:val="00BB3B55"/>
    <w:rsid w:val="00BB68F8"/>
    <w:rsid w:val="00BB7D21"/>
    <w:rsid w:val="00BC43EC"/>
    <w:rsid w:val="00BD5C86"/>
    <w:rsid w:val="00BE2D5B"/>
    <w:rsid w:val="00BE66F2"/>
    <w:rsid w:val="00C1534E"/>
    <w:rsid w:val="00C2564F"/>
    <w:rsid w:val="00C25CC1"/>
    <w:rsid w:val="00C2613E"/>
    <w:rsid w:val="00C3302F"/>
    <w:rsid w:val="00C53649"/>
    <w:rsid w:val="00C54AAE"/>
    <w:rsid w:val="00C5511A"/>
    <w:rsid w:val="00C653BB"/>
    <w:rsid w:val="00C67794"/>
    <w:rsid w:val="00C907B0"/>
    <w:rsid w:val="00C97FE2"/>
    <w:rsid w:val="00CA2ED8"/>
    <w:rsid w:val="00CA51AB"/>
    <w:rsid w:val="00CA7E74"/>
    <w:rsid w:val="00CC6467"/>
    <w:rsid w:val="00CD0E31"/>
    <w:rsid w:val="00CD68CF"/>
    <w:rsid w:val="00CE11C3"/>
    <w:rsid w:val="00CF591D"/>
    <w:rsid w:val="00D058B2"/>
    <w:rsid w:val="00D2355A"/>
    <w:rsid w:val="00D35D2C"/>
    <w:rsid w:val="00D47A89"/>
    <w:rsid w:val="00D567D5"/>
    <w:rsid w:val="00D633CC"/>
    <w:rsid w:val="00D64429"/>
    <w:rsid w:val="00D658E9"/>
    <w:rsid w:val="00D66FA5"/>
    <w:rsid w:val="00D72CA4"/>
    <w:rsid w:val="00D8281F"/>
    <w:rsid w:val="00D83C98"/>
    <w:rsid w:val="00D96B38"/>
    <w:rsid w:val="00DB3574"/>
    <w:rsid w:val="00DC71FA"/>
    <w:rsid w:val="00DD0693"/>
    <w:rsid w:val="00DD0B01"/>
    <w:rsid w:val="00DD0CD7"/>
    <w:rsid w:val="00DD4F03"/>
    <w:rsid w:val="00DD7E01"/>
    <w:rsid w:val="00DE1616"/>
    <w:rsid w:val="00DF09BA"/>
    <w:rsid w:val="00E10C7F"/>
    <w:rsid w:val="00E323AB"/>
    <w:rsid w:val="00E478FD"/>
    <w:rsid w:val="00E47C0C"/>
    <w:rsid w:val="00E52B51"/>
    <w:rsid w:val="00E554E8"/>
    <w:rsid w:val="00E64F0E"/>
    <w:rsid w:val="00E6687A"/>
    <w:rsid w:val="00E67ABC"/>
    <w:rsid w:val="00E70A2D"/>
    <w:rsid w:val="00E81B44"/>
    <w:rsid w:val="00E936AE"/>
    <w:rsid w:val="00E95065"/>
    <w:rsid w:val="00EA520D"/>
    <w:rsid w:val="00EA5D0D"/>
    <w:rsid w:val="00EB25FA"/>
    <w:rsid w:val="00EC1B3D"/>
    <w:rsid w:val="00ED0B7E"/>
    <w:rsid w:val="00EE1B56"/>
    <w:rsid w:val="00EF1318"/>
    <w:rsid w:val="00F31ABE"/>
    <w:rsid w:val="00F35BC9"/>
    <w:rsid w:val="00F5344E"/>
    <w:rsid w:val="00F5368C"/>
    <w:rsid w:val="00F56FCA"/>
    <w:rsid w:val="00F67E99"/>
    <w:rsid w:val="00F728DB"/>
    <w:rsid w:val="00F74C78"/>
    <w:rsid w:val="00F92EA6"/>
    <w:rsid w:val="00F95416"/>
    <w:rsid w:val="00F97C00"/>
    <w:rsid w:val="00FB20AC"/>
    <w:rsid w:val="00FB3B39"/>
    <w:rsid w:val="00FC1A45"/>
    <w:rsid w:val="00FC3131"/>
    <w:rsid w:val="00FC3E28"/>
    <w:rsid w:val="00FC583D"/>
    <w:rsid w:val="00FC5F58"/>
    <w:rsid w:val="00FE3F10"/>
    <w:rsid w:val="00FF238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36380"/>
  <w15:docId w15:val="{79C68800-794A-41B3-8B64-34E0B25F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604E3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E554E8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843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risk-assessment-vs-business-impact-analysis/" TargetMode="External"/><Relationship Id="rId2" Type="http://schemas.openxmlformats.org/officeDocument/2006/relationships/hyperlink" Target="https://advisera.com/27001academy/de/knowledgebase/was-ist-der-unterschied-zwischen-recovery-time-objective-rto-und-recovery-point-objective-rpo/" TargetMode="External"/><Relationship Id="rId1" Type="http://schemas.openxmlformats.org/officeDocument/2006/relationships/hyperlink" Target="https://advisera.com/27001academy/de/blog/2011/03/25/kann-eine-strategie-fur-betriebliches-kontinuitatsmanagement-ihr-geld-spare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trategie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60260-7F3F-4F3C-A056-9AB1403E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Strategie für betriebliches Kontinuitätsmanagement</vt:lpstr>
      <vt:lpstr>Strategie für betriebliches Kontinuitätsmanagement</vt:lpstr>
      <vt:lpstr>Business Continuity Strategy</vt:lpstr>
    </vt:vector>
  </TitlesOfParts>
  <Company>Advisera Expert Solutions Ltd</Company>
  <LinksUpToDate>false</LinksUpToDate>
  <CharactersWithSpaces>6478</CharactersWithSpaces>
  <SharedDoc>false</SharedDoc>
  <HLinks>
    <vt:vector size="162" baseType="variant">
      <vt:variant>
        <vt:i4>1048634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_Toc268171715</vt:lpwstr>
      </vt:variant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_Toc268171714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_Toc268171713</vt:lpwstr>
      </vt:variant>
      <vt:variant>
        <vt:i4>1048634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_Toc268171712</vt:lpwstr>
      </vt:variant>
      <vt:variant>
        <vt:i4>1048634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_Toc268171711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_Toc268171710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_Toc268171709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_Toc268171708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_Toc268171707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_Toc268171706</vt:lpwstr>
      </vt:variant>
      <vt:variant>
        <vt:i4>1114170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_Toc268171705</vt:lpwstr>
      </vt:variant>
      <vt:variant>
        <vt:i4>1114170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_Toc268171704</vt:lpwstr>
      </vt:variant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_Toc268171703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_Toc268171702</vt:lpwstr>
      </vt:variant>
      <vt:variant>
        <vt:i4>1114170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_Toc268171701</vt:lpwstr>
      </vt:variant>
      <vt:variant>
        <vt:i4>1114170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_Toc268171700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_Toc268171699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_Toc268171698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_Toc268171697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_Toc268171696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_Toc268171695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_Toc268171694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_Toc268171693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_Toc268171692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_Toc268171691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_Toc268171690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_Toc268171689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2015-03-29T09:14:00Z</dcterms:created>
  <dcterms:modified xsi:type="dcterms:W3CDTF">2020-04-07T20:37:00Z</dcterms:modified>
</cp:coreProperties>
</file>