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6B83A4" w14:textId="6FE4D00E" w:rsidR="00C41893" w:rsidRPr="007C5AD8" w:rsidRDefault="008C598A" w:rsidP="009351F3">
      <w:pPr>
        <w:jc w:val="center"/>
        <w:rPr>
          <w:color w:val="FF0000"/>
        </w:rPr>
      </w:pPr>
      <w:r>
        <w:rPr>
          <w:rStyle w:val="CommentReference"/>
        </w:rPr>
        <w:commentReference w:id="0"/>
      </w:r>
      <w:r w:rsidR="009351F3" w:rsidRPr="009351F3">
        <w:t xml:space="preserve"> </w:t>
      </w:r>
      <w:r w:rsidR="009351F3" w:rsidRPr="00FC7949">
        <w:t>** KOSTENLOSE VORSCHAU **</w:t>
      </w:r>
    </w:p>
    <w:p w14:paraId="7CA5E41F" w14:textId="77777777" w:rsidR="00C41893" w:rsidRPr="00121608" w:rsidRDefault="00C41893"/>
    <w:p w14:paraId="032D6649" w14:textId="77777777" w:rsidR="00C41893" w:rsidRPr="00121608" w:rsidRDefault="00C41893"/>
    <w:p w14:paraId="7FB9BD15" w14:textId="77777777" w:rsidR="00C41893" w:rsidRPr="00121608" w:rsidRDefault="00C41893"/>
    <w:p w14:paraId="1397C22C" w14:textId="77777777" w:rsidR="00C41893" w:rsidRPr="00121608" w:rsidRDefault="00C41893"/>
    <w:p w14:paraId="4000DFFC" w14:textId="77777777" w:rsidR="00C41893" w:rsidRPr="00121608" w:rsidRDefault="00C41893"/>
    <w:p w14:paraId="7C9DA3C1" w14:textId="77777777" w:rsidR="00C41893" w:rsidRPr="00121608" w:rsidRDefault="00C41893" w:rsidP="00C41893">
      <w:pPr>
        <w:jc w:val="center"/>
      </w:pPr>
      <w:commentRangeStart w:id="1"/>
      <w:r w:rsidRPr="00121608">
        <w:t>[</w:t>
      </w:r>
      <w:r w:rsidR="00B45E5A" w:rsidRPr="00121608">
        <w:t>Logo der Organisation</w:t>
      </w:r>
      <w:r w:rsidRPr="00121608">
        <w:t>]</w:t>
      </w:r>
      <w:commentRangeEnd w:id="1"/>
      <w:r w:rsidR="008C598A">
        <w:rPr>
          <w:rStyle w:val="CommentReference"/>
        </w:rPr>
        <w:commentReference w:id="1"/>
      </w:r>
    </w:p>
    <w:p w14:paraId="46A021D1" w14:textId="77777777" w:rsidR="00C41893" w:rsidRPr="00121608" w:rsidRDefault="00C41893" w:rsidP="00C41893">
      <w:pPr>
        <w:jc w:val="center"/>
      </w:pPr>
      <w:r w:rsidRPr="00121608">
        <w:t>[</w:t>
      </w:r>
      <w:r w:rsidR="00B45E5A" w:rsidRPr="00121608">
        <w:t>Name der Organisation</w:t>
      </w:r>
      <w:r w:rsidRPr="00121608">
        <w:t>]</w:t>
      </w:r>
    </w:p>
    <w:p w14:paraId="083E2EC3" w14:textId="77777777" w:rsidR="00C41893" w:rsidRPr="00121608" w:rsidRDefault="00C41893" w:rsidP="00C41893">
      <w:pPr>
        <w:jc w:val="center"/>
      </w:pPr>
    </w:p>
    <w:p w14:paraId="5494AE87" w14:textId="77777777" w:rsidR="00C41893" w:rsidRPr="00121608" w:rsidRDefault="00C41893" w:rsidP="00C41893">
      <w:pPr>
        <w:jc w:val="center"/>
      </w:pPr>
    </w:p>
    <w:p w14:paraId="66F85A04" w14:textId="77777777" w:rsidR="00C41893" w:rsidRPr="00121608" w:rsidRDefault="00137BB5" w:rsidP="00C41893">
      <w:pPr>
        <w:jc w:val="center"/>
        <w:rPr>
          <w:b/>
          <w:sz w:val="32"/>
          <w:szCs w:val="32"/>
        </w:rPr>
      </w:pPr>
      <w:commentRangeStart w:id="2"/>
      <w:r w:rsidRPr="00121608">
        <w:rPr>
          <w:b/>
          <w:sz w:val="32"/>
        </w:rPr>
        <w:t>ERKLÄRUNG ZUR ANWENDBARKEIT</w:t>
      </w:r>
      <w:commentRangeEnd w:id="2"/>
      <w:r w:rsidR="008C598A">
        <w:rPr>
          <w:rStyle w:val="CommentReference"/>
        </w:rPr>
        <w:commentReference w:id="2"/>
      </w:r>
    </w:p>
    <w:p w14:paraId="60A237A6" w14:textId="77777777" w:rsidR="00C41893" w:rsidRPr="00121608" w:rsidRDefault="00C41893" w:rsidP="00C4189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C41893" w:rsidRPr="00121608" w14:paraId="4F544FBE" w14:textId="77777777" w:rsidTr="00C41893">
        <w:tc>
          <w:tcPr>
            <w:tcW w:w="2376" w:type="dxa"/>
          </w:tcPr>
          <w:p w14:paraId="4A3DC03C" w14:textId="77777777" w:rsidR="00C41893" w:rsidRPr="00121608" w:rsidRDefault="0009473B" w:rsidP="00C41893">
            <w:commentRangeStart w:id="3"/>
            <w:r>
              <w:t>C</w:t>
            </w:r>
            <w:r w:rsidR="00C41893" w:rsidRPr="00121608">
              <w:t>ode</w:t>
            </w:r>
            <w:commentRangeEnd w:id="3"/>
            <w:r w:rsidR="008C598A">
              <w:rPr>
                <w:rStyle w:val="CommentReference"/>
              </w:rPr>
              <w:commentReference w:id="3"/>
            </w:r>
            <w:r w:rsidR="00C41893" w:rsidRPr="00121608">
              <w:t>:</w:t>
            </w:r>
          </w:p>
        </w:tc>
        <w:tc>
          <w:tcPr>
            <w:tcW w:w="6912" w:type="dxa"/>
          </w:tcPr>
          <w:p w14:paraId="3E048AF9" w14:textId="77777777" w:rsidR="00C41893" w:rsidRPr="00121608" w:rsidRDefault="00C41893" w:rsidP="00C41893"/>
        </w:tc>
      </w:tr>
      <w:tr w:rsidR="00C41893" w:rsidRPr="00121608" w14:paraId="48C8827D" w14:textId="77777777" w:rsidTr="00C41893">
        <w:tc>
          <w:tcPr>
            <w:tcW w:w="2376" w:type="dxa"/>
          </w:tcPr>
          <w:p w14:paraId="70840B54" w14:textId="77777777" w:rsidR="00C41893" w:rsidRPr="00121608" w:rsidRDefault="00C41893" w:rsidP="00C41893">
            <w:r w:rsidRPr="00121608">
              <w:t>Version:</w:t>
            </w:r>
          </w:p>
        </w:tc>
        <w:tc>
          <w:tcPr>
            <w:tcW w:w="6912" w:type="dxa"/>
          </w:tcPr>
          <w:p w14:paraId="14B39785" w14:textId="77777777" w:rsidR="00C41893" w:rsidRPr="00121608" w:rsidRDefault="00C41893" w:rsidP="00C41893"/>
        </w:tc>
      </w:tr>
      <w:tr w:rsidR="00C41893" w:rsidRPr="00121608" w14:paraId="3D8F12FA" w14:textId="77777777" w:rsidTr="00C41893">
        <w:tc>
          <w:tcPr>
            <w:tcW w:w="2376" w:type="dxa"/>
          </w:tcPr>
          <w:p w14:paraId="4F42BF97" w14:textId="77777777" w:rsidR="00C41893" w:rsidRPr="00121608" w:rsidRDefault="00B45E5A" w:rsidP="00C41893">
            <w:r w:rsidRPr="00121608">
              <w:t>Datum der Version:</w:t>
            </w:r>
          </w:p>
        </w:tc>
        <w:tc>
          <w:tcPr>
            <w:tcW w:w="6912" w:type="dxa"/>
          </w:tcPr>
          <w:p w14:paraId="4EBCD6F3" w14:textId="77777777" w:rsidR="00C41893" w:rsidRPr="00121608" w:rsidRDefault="00C41893" w:rsidP="00C41893"/>
        </w:tc>
      </w:tr>
      <w:tr w:rsidR="00C41893" w:rsidRPr="00121608" w14:paraId="506C33CF" w14:textId="77777777" w:rsidTr="00C41893">
        <w:tc>
          <w:tcPr>
            <w:tcW w:w="2376" w:type="dxa"/>
          </w:tcPr>
          <w:p w14:paraId="34D7CD79" w14:textId="77777777" w:rsidR="00C41893" w:rsidRPr="00121608" w:rsidRDefault="00B45E5A" w:rsidP="00C41893">
            <w:r w:rsidRPr="00121608">
              <w:t>Erstellt durch:</w:t>
            </w:r>
          </w:p>
        </w:tc>
        <w:tc>
          <w:tcPr>
            <w:tcW w:w="6912" w:type="dxa"/>
          </w:tcPr>
          <w:p w14:paraId="55F26DD4" w14:textId="77777777" w:rsidR="00C41893" w:rsidRPr="00121608" w:rsidRDefault="00C41893" w:rsidP="00C41893"/>
        </w:tc>
      </w:tr>
      <w:tr w:rsidR="00C41893" w:rsidRPr="00121608" w14:paraId="0F557FEE" w14:textId="77777777" w:rsidTr="00C41893">
        <w:tc>
          <w:tcPr>
            <w:tcW w:w="2376" w:type="dxa"/>
          </w:tcPr>
          <w:p w14:paraId="620C6536" w14:textId="77777777" w:rsidR="00C41893" w:rsidRPr="00121608" w:rsidRDefault="00B45E5A" w:rsidP="00C41893">
            <w:r w:rsidRPr="00121608">
              <w:t>Genehmigt durch:</w:t>
            </w:r>
          </w:p>
        </w:tc>
        <w:tc>
          <w:tcPr>
            <w:tcW w:w="6912" w:type="dxa"/>
          </w:tcPr>
          <w:p w14:paraId="1093C0BB" w14:textId="77777777" w:rsidR="00C41893" w:rsidRPr="00121608" w:rsidRDefault="00C41893" w:rsidP="00C41893"/>
        </w:tc>
      </w:tr>
      <w:tr w:rsidR="00C41893" w:rsidRPr="00121608" w14:paraId="062CE44C" w14:textId="77777777" w:rsidTr="00C41893">
        <w:tc>
          <w:tcPr>
            <w:tcW w:w="2376" w:type="dxa"/>
          </w:tcPr>
          <w:p w14:paraId="5E199790" w14:textId="77777777" w:rsidR="00C41893" w:rsidRPr="00121608" w:rsidRDefault="00B45E5A" w:rsidP="00C41893">
            <w:r w:rsidRPr="00121608">
              <w:t>Vertraulichkeitsstufe:</w:t>
            </w:r>
          </w:p>
        </w:tc>
        <w:tc>
          <w:tcPr>
            <w:tcW w:w="6912" w:type="dxa"/>
          </w:tcPr>
          <w:p w14:paraId="16D861CE" w14:textId="77777777" w:rsidR="00C41893" w:rsidRPr="00121608" w:rsidRDefault="00C41893" w:rsidP="00C41893"/>
        </w:tc>
      </w:tr>
    </w:tbl>
    <w:p w14:paraId="033EDD87" w14:textId="77777777" w:rsidR="00C41893" w:rsidRPr="00121608" w:rsidRDefault="00C41893" w:rsidP="00C41893"/>
    <w:p w14:paraId="1DC53413" w14:textId="77777777" w:rsidR="00C41893" w:rsidRPr="00121608" w:rsidRDefault="00C41893" w:rsidP="00C41893"/>
    <w:p w14:paraId="316B80F1" w14:textId="77777777" w:rsidR="00C41893" w:rsidRPr="00121608" w:rsidRDefault="00C41893" w:rsidP="00C41893">
      <w:pPr>
        <w:rPr>
          <w:b/>
          <w:sz w:val="28"/>
          <w:szCs w:val="28"/>
        </w:rPr>
      </w:pPr>
      <w:r w:rsidRPr="00121608">
        <w:br w:type="page"/>
      </w:r>
      <w:r w:rsidR="00B45E5A" w:rsidRPr="00121608">
        <w:rPr>
          <w:b/>
          <w:sz w:val="28"/>
        </w:rPr>
        <w:lastRenderedPageBreak/>
        <w:t>Änderungs-Historie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6"/>
        <w:gridCol w:w="972"/>
        <w:gridCol w:w="1798"/>
        <w:gridCol w:w="4242"/>
      </w:tblGrid>
      <w:tr w:rsidR="00C41893" w:rsidRPr="00121608" w14:paraId="7A724369" w14:textId="77777777" w:rsidTr="007C5AD8">
        <w:tc>
          <w:tcPr>
            <w:tcW w:w="2340" w:type="dxa"/>
          </w:tcPr>
          <w:p w14:paraId="043E6556" w14:textId="77777777" w:rsidR="00C41893" w:rsidRPr="00121608" w:rsidRDefault="00E42F20" w:rsidP="00C41893">
            <w:pPr>
              <w:rPr>
                <w:b/>
              </w:rPr>
            </w:pPr>
            <w:r w:rsidRPr="00121608">
              <w:rPr>
                <w:b/>
              </w:rPr>
              <w:t>Datum</w:t>
            </w:r>
          </w:p>
        </w:tc>
        <w:tc>
          <w:tcPr>
            <w:tcW w:w="976" w:type="dxa"/>
          </w:tcPr>
          <w:p w14:paraId="68C2482A" w14:textId="77777777" w:rsidR="00C41893" w:rsidRPr="00121608" w:rsidRDefault="00C41893" w:rsidP="00C41893">
            <w:pPr>
              <w:rPr>
                <w:b/>
              </w:rPr>
            </w:pPr>
            <w:r w:rsidRPr="00121608">
              <w:rPr>
                <w:b/>
              </w:rPr>
              <w:t>Version</w:t>
            </w:r>
          </w:p>
        </w:tc>
        <w:tc>
          <w:tcPr>
            <w:tcW w:w="1562" w:type="dxa"/>
          </w:tcPr>
          <w:p w14:paraId="00576EBE" w14:textId="77777777" w:rsidR="00C41893" w:rsidRPr="00121608" w:rsidRDefault="00B45E5A" w:rsidP="00C41893">
            <w:pPr>
              <w:rPr>
                <w:b/>
              </w:rPr>
            </w:pPr>
            <w:r w:rsidRPr="00121608">
              <w:rPr>
                <w:b/>
              </w:rPr>
              <w:t>Erstellt durch</w:t>
            </w:r>
          </w:p>
        </w:tc>
        <w:tc>
          <w:tcPr>
            <w:tcW w:w="4410" w:type="dxa"/>
          </w:tcPr>
          <w:p w14:paraId="35402FB0" w14:textId="77777777" w:rsidR="00C41893" w:rsidRPr="00121608" w:rsidRDefault="00B45E5A" w:rsidP="00C41893">
            <w:pPr>
              <w:rPr>
                <w:b/>
              </w:rPr>
            </w:pPr>
            <w:r w:rsidRPr="00121608">
              <w:rPr>
                <w:b/>
              </w:rPr>
              <w:t>Beschreibung der Änderung</w:t>
            </w:r>
          </w:p>
        </w:tc>
      </w:tr>
      <w:tr w:rsidR="00C41893" w:rsidRPr="00121608" w14:paraId="01D058FC" w14:textId="77777777" w:rsidTr="007C5AD8">
        <w:tc>
          <w:tcPr>
            <w:tcW w:w="2340" w:type="dxa"/>
          </w:tcPr>
          <w:p w14:paraId="0C90FE85" w14:textId="33576B83" w:rsidR="00C41893" w:rsidRPr="00121608" w:rsidRDefault="00FA5255" w:rsidP="0009473B">
            <w:r>
              <w:t>TT.MM.JJJJ</w:t>
            </w:r>
          </w:p>
        </w:tc>
        <w:tc>
          <w:tcPr>
            <w:tcW w:w="976" w:type="dxa"/>
          </w:tcPr>
          <w:p w14:paraId="3180F308" w14:textId="77777777" w:rsidR="00C41893" w:rsidRPr="00121608" w:rsidRDefault="00C41893" w:rsidP="00C41893">
            <w:r w:rsidRPr="00121608">
              <w:t>0.1</w:t>
            </w:r>
          </w:p>
        </w:tc>
        <w:tc>
          <w:tcPr>
            <w:tcW w:w="1562" w:type="dxa"/>
          </w:tcPr>
          <w:p w14:paraId="3AF85505" w14:textId="1AFF1AD5" w:rsidR="00C41893" w:rsidRPr="00121608" w:rsidRDefault="00FA5255" w:rsidP="00C41893">
            <w:r>
              <w:t>EUGDPRAcademy</w:t>
            </w:r>
          </w:p>
        </w:tc>
        <w:tc>
          <w:tcPr>
            <w:tcW w:w="4410" w:type="dxa"/>
          </w:tcPr>
          <w:p w14:paraId="63E275DC" w14:textId="77777777" w:rsidR="00C41893" w:rsidRPr="00121608" w:rsidRDefault="00B45E5A" w:rsidP="00C41893">
            <w:r w:rsidRPr="00121608">
              <w:t>Erster Entwurf des Dokuments</w:t>
            </w:r>
          </w:p>
        </w:tc>
      </w:tr>
      <w:tr w:rsidR="00C41893" w:rsidRPr="00121608" w14:paraId="03227534" w14:textId="77777777" w:rsidTr="007C5AD8">
        <w:tc>
          <w:tcPr>
            <w:tcW w:w="2340" w:type="dxa"/>
          </w:tcPr>
          <w:p w14:paraId="30F269C7" w14:textId="77777777" w:rsidR="00C41893" w:rsidRPr="00121608" w:rsidRDefault="00C41893" w:rsidP="00C41893"/>
        </w:tc>
        <w:tc>
          <w:tcPr>
            <w:tcW w:w="976" w:type="dxa"/>
          </w:tcPr>
          <w:p w14:paraId="5ED0D3E8" w14:textId="77777777" w:rsidR="00C41893" w:rsidRPr="00121608" w:rsidRDefault="00C41893" w:rsidP="00C41893"/>
        </w:tc>
        <w:tc>
          <w:tcPr>
            <w:tcW w:w="1562" w:type="dxa"/>
          </w:tcPr>
          <w:p w14:paraId="0C5E493F" w14:textId="77777777" w:rsidR="00C41893" w:rsidRPr="00121608" w:rsidRDefault="00C41893" w:rsidP="00C41893"/>
        </w:tc>
        <w:tc>
          <w:tcPr>
            <w:tcW w:w="4410" w:type="dxa"/>
          </w:tcPr>
          <w:p w14:paraId="182CA0D3" w14:textId="77777777" w:rsidR="00C41893" w:rsidRPr="00121608" w:rsidRDefault="00C41893" w:rsidP="00C41893"/>
        </w:tc>
      </w:tr>
      <w:tr w:rsidR="00C41893" w:rsidRPr="00121608" w14:paraId="5A4F8D3A" w14:textId="77777777" w:rsidTr="007C5AD8">
        <w:tc>
          <w:tcPr>
            <w:tcW w:w="2340" w:type="dxa"/>
          </w:tcPr>
          <w:p w14:paraId="5BF7085B" w14:textId="77777777" w:rsidR="00C41893" w:rsidRPr="00121608" w:rsidRDefault="00C41893" w:rsidP="00C41893"/>
        </w:tc>
        <w:tc>
          <w:tcPr>
            <w:tcW w:w="976" w:type="dxa"/>
          </w:tcPr>
          <w:p w14:paraId="2F087B4E" w14:textId="77777777" w:rsidR="00C41893" w:rsidRPr="00121608" w:rsidRDefault="00C41893" w:rsidP="00C41893"/>
        </w:tc>
        <w:tc>
          <w:tcPr>
            <w:tcW w:w="1562" w:type="dxa"/>
          </w:tcPr>
          <w:p w14:paraId="736F2D8F" w14:textId="77777777" w:rsidR="00C41893" w:rsidRPr="00121608" w:rsidRDefault="00C41893" w:rsidP="00C41893"/>
        </w:tc>
        <w:tc>
          <w:tcPr>
            <w:tcW w:w="4410" w:type="dxa"/>
          </w:tcPr>
          <w:p w14:paraId="0B33B912" w14:textId="77777777" w:rsidR="00C41893" w:rsidRPr="00121608" w:rsidRDefault="00C41893" w:rsidP="00C41893"/>
        </w:tc>
      </w:tr>
      <w:tr w:rsidR="00C41893" w:rsidRPr="00121608" w14:paraId="461D50EC" w14:textId="77777777" w:rsidTr="007C5AD8">
        <w:tc>
          <w:tcPr>
            <w:tcW w:w="2340" w:type="dxa"/>
          </w:tcPr>
          <w:p w14:paraId="38E9D1EC" w14:textId="77777777" w:rsidR="00C41893" w:rsidRPr="00121608" w:rsidRDefault="00C41893" w:rsidP="00C41893"/>
        </w:tc>
        <w:tc>
          <w:tcPr>
            <w:tcW w:w="976" w:type="dxa"/>
          </w:tcPr>
          <w:p w14:paraId="7D271B21" w14:textId="77777777" w:rsidR="00C41893" w:rsidRPr="00121608" w:rsidRDefault="00C41893" w:rsidP="00C41893"/>
        </w:tc>
        <w:tc>
          <w:tcPr>
            <w:tcW w:w="1562" w:type="dxa"/>
          </w:tcPr>
          <w:p w14:paraId="6048BD5E" w14:textId="77777777" w:rsidR="00C41893" w:rsidRPr="00121608" w:rsidRDefault="00C41893" w:rsidP="00C41893"/>
        </w:tc>
        <w:tc>
          <w:tcPr>
            <w:tcW w:w="4410" w:type="dxa"/>
          </w:tcPr>
          <w:p w14:paraId="6195AD11" w14:textId="77777777" w:rsidR="00C41893" w:rsidRPr="00121608" w:rsidRDefault="00C41893" w:rsidP="00C41893"/>
        </w:tc>
      </w:tr>
      <w:tr w:rsidR="00C41893" w:rsidRPr="00121608" w14:paraId="30E6B259" w14:textId="77777777" w:rsidTr="007C5AD8">
        <w:tc>
          <w:tcPr>
            <w:tcW w:w="2340" w:type="dxa"/>
          </w:tcPr>
          <w:p w14:paraId="6DB64F37" w14:textId="77777777" w:rsidR="00C41893" w:rsidRPr="00121608" w:rsidRDefault="00C41893" w:rsidP="00C41893"/>
        </w:tc>
        <w:tc>
          <w:tcPr>
            <w:tcW w:w="976" w:type="dxa"/>
          </w:tcPr>
          <w:p w14:paraId="0609D6E3" w14:textId="77777777" w:rsidR="00C41893" w:rsidRPr="00121608" w:rsidRDefault="00C41893" w:rsidP="00C41893"/>
        </w:tc>
        <w:tc>
          <w:tcPr>
            <w:tcW w:w="1562" w:type="dxa"/>
          </w:tcPr>
          <w:p w14:paraId="42857724" w14:textId="77777777" w:rsidR="00C41893" w:rsidRPr="00121608" w:rsidRDefault="00C41893" w:rsidP="00C41893"/>
        </w:tc>
        <w:tc>
          <w:tcPr>
            <w:tcW w:w="4410" w:type="dxa"/>
          </w:tcPr>
          <w:p w14:paraId="15386E28" w14:textId="77777777" w:rsidR="00C41893" w:rsidRPr="00121608" w:rsidRDefault="00C41893" w:rsidP="00C41893"/>
        </w:tc>
      </w:tr>
      <w:tr w:rsidR="00C41893" w:rsidRPr="00121608" w14:paraId="40C307F2" w14:textId="77777777" w:rsidTr="007C5AD8">
        <w:tc>
          <w:tcPr>
            <w:tcW w:w="2340" w:type="dxa"/>
          </w:tcPr>
          <w:p w14:paraId="1D54D48E" w14:textId="77777777" w:rsidR="00C41893" w:rsidRPr="00121608" w:rsidRDefault="00C41893" w:rsidP="00C41893"/>
        </w:tc>
        <w:tc>
          <w:tcPr>
            <w:tcW w:w="976" w:type="dxa"/>
          </w:tcPr>
          <w:p w14:paraId="5A6B055B" w14:textId="77777777" w:rsidR="00C41893" w:rsidRPr="00121608" w:rsidRDefault="00C41893" w:rsidP="00C41893"/>
        </w:tc>
        <w:tc>
          <w:tcPr>
            <w:tcW w:w="1562" w:type="dxa"/>
          </w:tcPr>
          <w:p w14:paraId="56B94F9F" w14:textId="77777777" w:rsidR="00C41893" w:rsidRPr="00121608" w:rsidRDefault="00C41893" w:rsidP="00C41893"/>
        </w:tc>
        <w:tc>
          <w:tcPr>
            <w:tcW w:w="4410" w:type="dxa"/>
          </w:tcPr>
          <w:p w14:paraId="1E305F41" w14:textId="77777777" w:rsidR="00C41893" w:rsidRPr="00121608" w:rsidRDefault="00C41893" w:rsidP="00C41893"/>
        </w:tc>
      </w:tr>
      <w:tr w:rsidR="00C41893" w:rsidRPr="00121608" w14:paraId="2D961481" w14:textId="77777777" w:rsidTr="007C5AD8">
        <w:tc>
          <w:tcPr>
            <w:tcW w:w="2340" w:type="dxa"/>
          </w:tcPr>
          <w:p w14:paraId="1514A5C2" w14:textId="77777777" w:rsidR="00C41893" w:rsidRPr="00121608" w:rsidRDefault="00C41893" w:rsidP="00C41893"/>
        </w:tc>
        <w:tc>
          <w:tcPr>
            <w:tcW w:w="976" w:type="dxa"/>
          </w:tcPr>
          <w:p w14:paraId="5427CAF5" w14:textId="77777777" w:rsidR="00C41893" w:rsidRPr="00121608" w:rsidRDefault="00C41893" w:rsidP="00C41893"/>
        </w:tc>
        <w:tc>
          <w:tcPr>
            <w:tcW w:w="1562" w:type="dxa"/>
          </w:tcPr>
          <w:p w14:paraId="15A1FDC9" w14:textId="77777777" w:rsidR="00C41893" w:rsidRPr="00121608" w:rsidRDefault="00C41893" w:rsidP="00C41893"/>
        </w:tc>
        <w:tc>
          <w:tcPr>
            <w:tcW w:w="4410" w:type="dxa"/>
          </w:tcPr>
          <w:p w14:paraId="0291C743" w14:textId="77777777" w:rsidR="00C41893" w:rsidRPr="00121608" w:rsidRDefault="00C41893" w:rsidP="00C41893"/>
        </w:tc>
      </w:tr>
    </w:tbl>
    <w:p w14:paraId="719D776C" w14:textId="77777777" w:rsidR="00C41893" w:rsidRPr="00121608" w:rsidRDefault="00C41893" w:rsidP="00C41893"/>
    <w:p w14:paraId="40FB63EB" w14:textId="77777777" w:rsidR="00C41893" w:rsidRPr="00121608" w:rsidRDefault="00C41893" w:rsidP="00C41893"/>
    <w:p w14:paraId="0735079D" w14:textId="77777777" w:rsidR="00C41893" w:rsidRPr="00121608" w:rsidRDefault="00B45E5A" w:rsidP="00C41893">
      <w:pPr>
        <w:rPr>
          <w:b/>
          <w:sz w:val="28"/>
          <w:szCs w:val="28"/>
        </w:rPr>
      </w:pPr>
      <w:r w:rsidRPr="00121608">
        <w:rPr>
          <w:b/>
          <w:sz w:val="28"/>
        </w:rPr>
        <w:t>Inhaltsverzeichnis</w:t>
      </w:r>
    </w:p>
    <w:p w14:paraId="6C540667" w14:textId="77777777" w:rsidR="008C598A" w:rsidRDefault="0015181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121608">
        <w:fldChar w:fldCharType="begin"/>
      </w:r>
      <w:r w:rsidR="00365F9F" w:rsidRPr="00121608">
        <w:instrText xml:space="preserve"> TOC \o "1-3" \h \z \u </w:instrText>
      </w:r>
      <w:r w:rsidRPr="00121608">
        <w:fldChar w:fldCharType="separate"/>
      </w:r>
      <w:hyperlink w:anchor="_Toc505024573" w:history="1">
        <w:r w:rsidR="008C598A" w:rsidRPr="008304BA">
          <w:rPr>
            <w:rStyle w:val="Hyperlink"/>
            <w:noProof/>
          </w:rPr>
          <w:t>1.</w:t>
        </w:r>
        <w:r w:rsidR="008C598A">
          <w:rPr>
            <w:rFonts w:asciiTheme="minorHAnsi" w:eastAsiaTheme="minorEastAsia" w:hAnsiTheme="minorHAnsi" w:cstheme="minorBidi"/>
            <w:b w:val="0"/>
            <w:bCs w:val="0"/>
            <w:caps w:val="0"/>
            <w:noProof/>
            <w:sz w:val="22"/>
            <w:szCs w:val="22"/>
            <w:lang w:val="hr-HR" w:eastAsia="zh-CN"/>
          </w:rPr>
          <w:tab/>
        </w:r>
        <w:r w:rsidR="008C598A" w:rsidRPr="008304BA">
          <w:rPr>
            <w:rStyle w:val="Hyperlink"/>
            <w:noProof/>
          </w:rPr>
          <w:t>Zweck, Anwendungsbereich und Anwender</w:t>
        </w:r>
        <w:r w:rsidR="008C598A">
          <w:rPr>
            <w:noProof/>
            <w:webHidden/>
          </w:rPr>
          <w:tab/>
        </w:r>
        <w:r w:rsidR="008C598A">
          <w:rPr>
            <w:noProof/>
            <w:webHidden/>
          </w:rPr>
          <w:fldChar w:fldCharType="begin"/>
        </w:r>
        <w:r w:rsidR="008C598A">
          <w:rPr>
            <w:noProof/>
            <w:webHidden/>
          </w:rPr>
          <w:instrText xml:space="preserve"> PAGEREF _Toc505024573 \h </w:instrText>
        </w:r>
        <w:r w:rsidR="008C598A">
          <w:rPr>
            <w:noProof/>
            <w:webHidden/>
          </w:rPr>
        </w:r>
        <w:r w:rsidR="008C598A">
          <w:rPr>
            <w:noProof/>
            <w:webHidden/>
          </w:rPr>
          <w:fldChar w:fldCharType="separate"/>
        </w:r>
        <w:r w:rsidR="008C598A">
          <w:rPr>
            <w:noProof/>
            <w:webHidden/>
          </w:rPr>
          <w:t>3</w:t>
        </w:r>
        <w:r w:rsidR="008C598A">
          <w:rPr>
            <w:noProof/>
            <w:webHidden/>
          </w:rPr>
          <w:fldChar w:fldCharType="end"/>
        </w:r>
      </w:hyperlink>
    </w:p>
    <w:p w14:paraId="6E867BAD" w14:textId="77777777" w:rsidR="008C598A" w:rsidRDefault="00A478C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5024574" w:history="1">
        <w:r w:rsidR="008C598A" w:rsidRPr="008304BA">
          <w:rPr>
            <w:rStyle w:val="Hyperlink"/>
            <w:noProof/>
          </w:rPr>
          <w:t>2.</w:t>
        </w:r>
        <w:r w:rsidR="008C598A">
          <w:rPr>
            <w:rFonts w:asciiTheme="minorHAnsi" w:eastAsiaTheme="minorEastAsia" w:hAnsiTheme="minorHAnsi" w:cstheme="minorBidi"/>
            <w:b w:val="0"/>
            <w:bCs w:val="0"/>
            <w:caps w:val="0"/>
            <w:noProof/>
            <w:sz w:val="22"/>
            <w:szCs w:val="22"/>
            <w:lang w:val="hr-HR" w:eastAsia="zh-CN"/>
          </w:rPr>
          <w:tab/>
        </w:r>
        <w:r w:rsidR="008C598A" w:rsidRPr="008304BA">
          <w:rPr>
            <w:rStyle w:val="Hyperlink"/>
            <w:noProof/>
          </w:rPr>
          <w:t>Referenzdokumente</w:t>
        </w:r>
        <w:r w:rsidR="008C598A">
          <w:rPr>
            <w:noProof/>
            <w:webHidden/>
          </w:rPr>
          <w:tab/>
        </w:r>
        <w:r w:rsidR="008C598A">
          <w:rPr>
            <w:noProof/>
            <w:webHidden/>
          </w:rPr>
          <w:fldChar w:fldCharType="begin"/>
        </w:r>
        <w:r w:rsidR="008C598A">
          <w:rPr>
            <w:noProof/>
            <w:webHidden/>
          </w:rPr>
          <w:instrText xml:space="preserve"> PAGEREF _Toc505024574 \h </w:instrText>
        </w:r>
        <w:r w:rsidR="008C598A">
          <w:rPr>
            <w:noProof/>
            <w:webHidden/>
          </w:rPr>
        </w:r>
        <w:r w:rsidR="008C598A">
          <w:rPr>
            <w:noProof/>
            <w:webHidden/>
          </w:rPr>
          <w:fldChar w:fldCharType="separate"/>
        </w:r>
        <w:r w:rsidR="008C598A">
          <w:rPr>
            <w:noProof/>
            <w:webHidden/>
          </w:rPr>
          <w:t>3</w:t>
        </w:r>
        <w:r w:rsidR="008C598A">
          <w:rPr>
            <w:noProof/>
            <w:webHidden/>
          </w:rPr>
          <w:fldChar w:fldCharType="end"/>
        </w:r>
      </w:hyperlink>
    </w:p>
    <w:p w14:paraId="3843892B" w14:textId="77777777" w:rsidR="008C598A" w:rsidRDefault="00A478C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5024575" w:history="1">
        <w:r w:rsidR="008C598A" w:rsidRPr="008304BA">
          <w:rPr>
            <w:rStyle w:val="Hyperlink"/>
            <w:noProof/>
          </w:rPr>
          <w:t>3.</w:t>
        </w:r>
        <w:r w:rsidR="008C598A">
          <w:rPr>
            <w:rFonts w:asciiTheme="minorHAnsi" w:eastAsiaTheme="minorEastAsia" w:hAnsiTheme="minorHAnsi" w:cstheme="minorBidi"/>
            <w:b w:val="0"/>
            <w:bCs w:val="0"/>
            <w:caps w:val="0"/>
            <w:noProof/>
            <w:sz w:val="22"/>
            <w:szCs w:val="22"/>
            <w:lang w:val="hr-HR" w:eastAsia="zh-CN"/>
          </w:rPr>
          <w:tab/>
        </w:r>
        <w:r w:rsidR="008C598A" w:rsidRPr="008304BA">
          <w:rPr>
            <w:rStyle w:val="Hyperlink"/>
            <w:noProof/>
          </w:rPr>
          <w:t>Anwendbarkeit von Maßnahmen</w:t>
        </w:r>
        <w:r w:rsidR="008C598A">
          <w:rPr>
            <w:noProof/>
            <w:webHidden/>
          </w:rPr>
          <w:tab/>
        </w:r>
        <w:r w:rsidR="008C598A">
          <w:rPr>
            <w:noProof/>
            <w:webHidden/>
          </w:rPr>
          <w:fldChar w:fldCharType="begin"/>
        </w:r>
        <w:r w:rsidR="008C598A">
          <w:rPr>
            <w:noProof/>
            <w:webHidden/>
          </w:rPr>
          <w:instrText xml:space="preserve"> PAGEREF _Toc505024575 \h </w:instrText>
        </w:r>
        <w:r w:rsidR="008C598A">
          <w:rPr>
            <w:noProof/>
            <w:webHidden/>
          </w:rPr>
        </w:r>
        <w:r w:rsidR="008C598A">
          <w:rPr>
            <w:noProof/>
            <w:webHidden/>
          </w:rPr>
          <w:fldChar w:fldCharType="separate"/>
        </w:r>
        <w:r w:rsidR="008C598A">
          <w:rPr>
            <w:noProof/>
            <w:webHidden/>
          </w:rPr>
          <w:t>3</w:t>
        </w:r>
        <w:r w:rsidR="008C598A">
          <w:rPr>
            <w:noProof/>
            <w:webHidden/>
          </w:rPr>
          <w:fldChar w:fldCharType="end"/>
        </w:r>
      </w:hyperlink>
    </w:p>
    <w:p w14:paraId="11F21110" w14:textId="77777777" w:rsidR="008C598A" w:rsidRDefault="00A478C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5024576" w:history="1">
        <w:r w:rsidR="008C598A" w:rsidRPr="008304BA">
          <w:rPr>
            <w:rStyle w:val="Hyperlink"/>
            <w:noProof/>
          </w:rPr>
          <w:t>4.</w:t>
        </w:r>
        <w:r w:rsidR="008C598A">
          <w:rPr>
            <w:rFonts w:asciiTheme="minorHAnsi" w:eastAsiaTheme="minorEastAsia" w:hAnsiTheme="minorHAnsi" w:cstheme="minorBidi"/>
            <w:b w:val="0"/>
            <w:bCs w:val="0"/>
            <w:caps w:val="0"/>
            <w:noProof/>
            <w:sz w:val="22"/>
            <w:szCs w:val="22"/>
            <w:lang w:val="hr-HR" w:eastAsia="zh-CN"/>
          </w:rPr>
          <w:tab/>
        </w:r>
        <w:r w:rsidR="008C598A" w:rsidRPr="008304BA">
          <w:rPr>
            <w:rStyle w:val="Hyperlink"/>
            <w:noProof/>
          </w:rPr>
          <w:t>Akzeptanz von Restrisiken</w:t>
        </w:r>
        <w:r w:rsidR="008C598A">
          <w:rPr>
            <w:noProof/>
            <w:webHidden/>
          </w:rPr>
          <w:tab/>
        </w:r>
        <w:r w:rsidR="008C598A">
          <w:rPr>
            <w:noProof/>
            <w:webHidden/>
          </w:rPr>
          <w:fldChar w:fldCharType="begin"/>
        </w:r>
        <w:r w:rsidR="008C598A">
          <w:rPr>
            <w:noProof/>
            <w:webHidden/>
          </w:rPr>
          <w:instrText xml:space="preserve"> PAGEREF _Toc505024576 \h </w:instrText>
        </w:r>
        <w:r w:rsidR="008C598A">
          <w:rPr>
            <w:noProof/>
            <w:webHidden/>
          </w:rPr>
        </w:r>
        <w:r w:rsidR="008C598A">
          <w:rPr>
            <w:noProof/>
            <w:webHidden/>
          </w:rPr>
          <w:fldChar w:fldCharType="separate"/>
        </w:r>
        <w:r w:rsidR="008C598A">
          <w:rPr>
            <w:noProof/>
            <w:webHidden/>
          </w:rPr>
          <w:t>19</w:t>
        </w:r>
        <w:r w:rsidR="008C598A">
          <w:rPr>
            <w:noProof/>
            <w:webHidden/>
          </w:rPr>
          <w:fldChar w:fldCharType="end"/>
        </w:r>
      </w:hyperlink>
    </w:p>
    <w:p w14:paraId="0E854F82" w14:textId="77777777" w:rsidR="008C598A" w:rsidRDefault="00A478C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5024577" w:history="1">
        <w:r w:rsidR="008C598A" w:rsidRPr="008304BA">
          <w:rPr>
            <w:rStyle w:val="Hyperlink"/>
            <w:noProof/>
          </w:rPr>
          <w:t>5.</w:t>
        </w:r>
        <w:r w:rsidR="008C598A">
          <w:rPr>
            <w:rFonts w:asciiTheme="minorHAnsi" w:eastAsiaTheme="minorEastAsia" w:hAnsiTheme="minorHAnsi" w:cstheme="minorBidi"/>
            <w:b w:val="0"/>
            <w:bCs w:val="0"/>
            <w:caps w:val="0"/>
            <w:noProof/>
            <w:sz w:val="22"/>
            <w:szCs w:val="22"/>
            <w:lang w:val="hr-HR" w:eastAsia="zh-CN"/>
          </w:rPr>
          <w:tab/>
        </w:r>
        <w:r w:rsidR="008C598A" w:rsidRPr="008304BA">
          <w:rPr>
            <w:rStyle w:val="Hyperlink"/>
            <w:noProof/>
          </w:rPr>
          <w:t>Gültigkeit und Dokumenten-Handhabung</w:t>
        </w:r>
        <w:r w:rsidR="008C598A">
          <w:rPr>
            <w:noProof/>
            <w:webHidden/>
          </w:rPr>
          <w:tab/>
        </w:r>
        <w:r w:rsidR="008C598A">
          <w:rPr>
            <w:noProof/>
            <w:webHidden/>
          </w:rPr>
          <w:fldChar w:fldCharType="begin"/>
        </w:r>
        <w:r w:rsidR="008C598A">
          <w:rPr>
            <w:noProof/>
            <w:webHidden/>
          </w:rPr>
          <w:instrText xml:space="preserve"> PAGEREF _Toc505024577 \h </w:instrText>
        </w:r>
        <w:r w:rsidR="008C598A">
          <w:rPr>
            <w:noProof/>
            <w:webHidden/>
          </w:rPr>
        </w:r>
        <w:r w:rsidR="008C598A">
          <w:rPr>
            <w:noProof/>
            <w:webHidden/>
          </w:rPr>
          <w:fldChar w:fldCharType="separate"/>
        </w:r>
        <w:r w:rsidR="008C598A">
          <w:rPr>
            <w:noProof/>
            <w:webHidden/>
          </w:rPr>
          <w:t>20</w:t>
        </w:r>
        <w:r w:rsidR="008C598A">
          <w:rPr>
            <w:noProof/>
            <w:webHidden/>
          </w:rPr>
          <w:fldChar w:fldCharType="end"/>
        </w:r>
      </w:hyperlink>
    </w:p>
    <w:p w14:paraId="6A14B448" w14:textId="77777777" w:rsidR="00365F9F" w:rsidRPr="00121608" w:rsidRDefault="00151815">
      <w:r w:rsidRPr="00121608">
        <w:fldChar w:fldCharType="end"/>
      </w:r>
    </w:p>
    <w:p w14:paraId="37551C74" w14:textId="77777777" w:rsidR="00C41893" w:rsidRPr="00121608" w:rsidRDefault="00C41893">
      <w:pPr>
        <w:pStyle w:val="TOC1"/>
        <w:tabs>
          <w:tab w:val="left" w:pos="440"/>
          <w:tab w:val="right" w:leader="dot" w:pos="9062"/>
        </w:tabs>
      </w:pPr>
    </w:p>
    <w:p w14:paraId="57316701" w14:textId="77777777" w:rsidR="00C41893" w:rsidRPr="00121608" w:rsidRDefault="00C41893" w:rsidP="00C41893"/>
    <w:p w14:paraId="1D497B8A" w14:textId="77777777" w:rsidR="00C41893" w:rsidRPr="00121608" w:rsidRDefault="00C41893" w:rsidP="00C41893"/>
    <w:p w14:paraId="27151F5F" w14:textId="77777777" w:rsidR="00C41893" w:rsidRPr="00121608" w:rsidRDefault="00C41893" w:rsidP="00C41893"/>
    <w:p w14:paraId="706148DD" w14:textId="77777777" w:rsidR="00C41893" w:rsidRPr="00121608" w:rsidRDefault="00C41893" w:rsidP="00C41893">
      <w:pPr>
        <w:pStyle w:val="Heading1"/>
      </w:pPr>
      <w:r w:rsidRPr="00121608">
        <w:br w:type="page"/>
      </w:r>
      <w:bookmarkStart w:id="4" w:name="_Toc264805702"/>
      <w:bookmarkStart w:id="5" w:name="_Toc326767661"/>
      <w:bookmarkStart w:id="6" w:name="_Toc326919936"/>
      <w:bookmarkStart w:id="7" w:name="_Toc505024573"/>
      <w:r w:rsidR="00B45E5A" w:rsidRPr="00121608">
        <w:lastRenderedPageBreak/>
        <w:t>Zweck, Anwendungsbereich und Anwender</w:t>
      </w:r>
      <w:bookmarkEnd w:id="4"/>
      <w:bookmarkEnd w:id="5"/>
      <w:bookmarkEnd w:id="6"/>
      <w:bookmarkEnd w:id="7"/>
    </w:p>
    <w:p w14:paraId="5F353FD1" w14:textId="3518A165" w:rsidR="00C41893" w:rsidRPr="00121608" w:rsidRDefault="006C5E78" w:rsidP="00C41893">
      <w:pPr>
        <w:numPr>
          <w:ilvl w:val="1"/>
          <w:numId w:val="0"/>
        </w:numPr>
        <w:spacing w:line="240" w:lineRule="auto"/>
      </w:pPr>
      <w:r w:rsidRPr="00121608">
        <w:t xml:space="preserve">Der Zweck dieses Dokuments ist die Definition, welche Maßnahmen </w:t>
      </w:r>
      <w:r w:rsidR="00B1610A">
        <w:t xml:space="preserve">(Schutzmaßnahmen) </w:t>
      </w:r>
      <w:r w:rsidRPr="00121608">
        <w:t>zur Umsetzung in [Name der Organisation] geeignet sind, welches die Maßnahmenziele sind, wie diese umgesetzt werden, sowie die Genehmigung von Restrisiken und die formale Genehmigung der Umsetzung genannter Maßnahmen</w:t>
      </w:r>
      <w:r w:rsidR="00C41893" w:rsidRPr="00121608">
        <w:t xml:space="preserve">. </w:t>
      </w:r>
    </w:p>
    <w:p w14:paraId="18DE26BF" w14:textId="431637E9" w:rsidR="00C41893" w:rsidRPr="00121608" w:rsidRDefault="006C5E78" w:rsidP="00C41893">
      <w:pPr>
        <w:numPr>
          <w:ilvl w:val="1"/>
          <w:numId w:val="0"/>
        </w:numPr>
        <w:spacing w:line="240" w:lineRule="auto"/>
      </w:pPr>
      <w:r w:rsidRPr="00121608">
        <w:t>Dieses Dokument beinhaltet alle Maßnahmen</w:t>
      </w:r>
      <w:r w:rsidR="00D52A91" w:rsidRPr="00121608">
        <w:t>,</w:t>
      </w:r>
      <w:r w:rsidRPr="00121608">
        <w:t xml:space="preserve"> die in Anhang A de</w:t>
      </w:r>
      <w:r w:rsidR="00ED7EAC">
        <w:t>r</w:t>
      </w:r>
      <w:r w:rsidRPr="00121608">
        <w:t xml:space="preserve"> ISO 27001 </w:t>
      </w:r>
      <w:r w:rsidR="00ED7EAC">
        <w:t>Norm</w:t>
      </w:r>
      <w:r w:rsidRPr="00121608">
        <w:t xml:space="preserve"> aufgeführt sind. Die Maßnahmen sind auf den gesamten Anwendungsbereich des Informationssicherheits-Managementsystems </w:t>
      </w:r>
      <w:r w:rsidR="00B1610A">
        <w:t xml:space="preserve">und auf alle Verarbeitungstätigkeiten von personenbezogenen Daten </w:t>
      </w:r>
      <w:r w:rsidRPr="00121608">
        <w:t>an</w:t>
      </w:r>
      <w:r w:rsidR="00B1610A">
        <w:t>wendbar</w:t>
      </w:r>
      <w:r w:rsidRPr="00121608">
        <w:t>.</w:t>
      </w:r>
    </w:p>
    <w:p w14:paraId="1D811D7E" w14:textId="77777777" w:rsidR="00C41893" w:rsidRPr="00121608" w:rsidRDefault="00D52A91" w:rsidP="00C41893">
      <w:r w:rsidRPr="00121608">
        <w:t>Anwender diese</w:t>
      </w:r>
      <w:r w:rsidR="00E42F20" w:rsidRPr="00121608">
        <w:t>s</w:t>
      </w:r>
      <w:r w:rsidRPr="00121608">
        <w:t xml:space="preserve"> Dokuments sind alle Mitarbeiter von [Name der Organisation] mit </w:t>
      </w:r>
      <w:r w:rsidR="004F3218">
        <w:t>einer Funktion im</w:t>
      </w:r>
      <w:r w:rsidRPr="00121608">
        <w:t xml:space="preserve"> ISMS. </w:t>
      </w:r>
      <w:r w:rsidR="00C41893" w:rsidRPr="00121608">
        <w:t xml:space="preserve"> </w:t>
      </w:r>
    </w:p>
    <w:p w14:paraId="7D5535C6" w14:textId="77777777" w:rsidR="00C41893" w:rsidRPr="00121608" w:rsidRDefault="00C41893" w:rsidP="00C41893"/>
    <w:p w14:paraId="48FCE650" w14:textId="77777777" w:rsidR="00B45E5A" w:rsidRPr="00121608" w:rsidRDefault="00B45E5A" w:rsidP="00B45E5A">
      <w:pPr>
        <w:pStyle w:val="Heading1"/>
      </w:pPr>
      <w:bookmarkStart w:id="8" w:name="_Toc264805703"/>
      <w:bookmarkStart w:id="9" w:name="_Toc326767662"/>
      <w:bookmarkStart w:id="10" w:name="_Toc326919937"/>
      <w:bookmarkStart w:id="11" w:name="_Toc505024574"/>
      <w:r w:rsidRPr="00121608">
        <w:t>Referenzdokumente</w:t>
      </w:r>
      <w:bookmarkEnd w:id="8"/>
      <w:bookmarkEnd w:id="9"/>
      <w:bookmarkEnd w:id="10"/>
      <w:bookmarkEnd w:id="11"/>
    </w:p>
    <w:p w14:paraId="291C6ECB" w14:textId="77777777" w:rsidR="00C41893" w:rsidRPr="00121608" w:rsidRDefault="00DA2316" w:rsidP="00FA5255">
      <w:pPr>
        <w:numPr>
          <w:ilvl w:val="0"/>
          <w:numId w:val="4"/>
        </w:numPr>
        <w:spacing w:after="0"/>
        <w:ind w:left="714" w:hanging="357"/>
      </w:pPr>
      <w:r w:rsidRPr="00121608">
        <w:t xml:space="preserve">ISO/IEC 27001 </w:t>
      </w:r>
      <w:r w:rsidR="00ED7EAC">
        <w:t>Norm</w:t>
      </w:r>
      <w:r w:rsidR="00C41893" w:rsidRPr="00121608">
        <w:t xml:space="preserve">, </w:t>
      </w:r>
      <w:r w:rsidRPr="00121608">
        <w:t>Abschnitt</w:t>
      </w:r>
      <w:r w:rsidR="00C41893" w:rsidRPr="00121608">
        <w:t xml:space="preserve"> </w:t>
      </w:r>
      <w:r w:rsidR="00F12351">
        <w:t>6.1.3 d)</w:t>
      </w:r>
    </w:p>
    <w:p w14:paraId="42D33285" w14:textId="77777777" w:rsidR="00C41893" w:rsidRPr="00121608" w:rsidRDefault="00DA2316" w:rsidP="00FA5255">
      <w:pPr>
        <w:numPr>
          <w:ilvl w:val="0"/>
          <w:numId w:val="4"/>
        </w:numPr>
        <w:spacing w:after="0"/>
        <w:ind w:left="714" w:hanging="357"/>
      </w:pPr>
      <w:r w:rsidRPr="00121608">
        <w:t>Informationssicherheits</w:t>
      </w:r>
      <w:r w:rsidR="00DD4BB3">
        <w:t>politik</w:t>
      </w:r>
    </w:p>
    <w:p w14:paraId="3B45EAD0" w14:textId="77777777" w:rsidR="00C41893" w:rsidRPr="00121608" w:rsidRDefault="00DA2316" w:rsidP="00FA5255">
      <w:pPr>
        <w:numPr>
          <w:ilvl w:val="0"/>
          <w:numId w:val="4"/>
        </w:numPr>
        <w:spacing w:after="0"/>
        <w:ind w:left="714" w:hanging="357"/>
      </w:pPr>
      <w:r w:rsidRPr="00121608">
        <w:t>Methodik zur Risikoeinschätzung und Risikobehandlung</w:t>
      </w:r>
    </w:p>
    <w:p w14:paraId="02F11E6E" w14:textId="77777777" w:rsidR="00FA5255" w:rsidRDefault="00F12351" w:rsidP="00FA5255">
      <w:pPr>
        <w:numPr>
          <w:ilvl w:val="0"/>
          <w:numId w:val="4"/>
        </w:numPr>
        <w:spacing w:after="0"/>
        <w:ind w:left="714" w:hanging="357"/>
      </w:pPr>
      <w:r>
        <w:t xml:space="preserve">Bericht zur </w:t>
      </w:r>
      <w:r w:rsidR="00DA2316" w:rsidRPr="00121608">
        <w:t>Risikoeinschätzung</w:t>
      </w:r>
      <w:r>
        <w:t xml:space="preserve"> und Risikobehandlung</w:t>
      </w:r>
    </w:p>
    <w:p w14:paraId="0FD8066B" w14:textId="77290B05" w:rsidR="00B1610A" w:rsidRPr="00121608" w:rsidRDefault="00B1610A" w:rsidP="00FA5255">
      <w:pPr>
        <w:numPr>
          <w:ilvl w:val="0"/>
          <w:numId w:val="4"/>
        </w:numPr>
        <w:spacing w:after="0"/>
        <w:ind w:left="714" w:hanging="357"/>
      </w:pPr>
      <w:r>
        <w:t>Verzeichnis der DSFA</w:t>
      </w:r>
    </w:p>
    <w:p w14:paraId="406AACFF" w14:textId="77777777" w:rsidR="00C41893" w:rsidRPr="00121608" w:rsidRDefault="00C41893" w:rsidP="00C41893"/>
    <w:p w14:paraId="577B8282" w14:textId="77777777" w:rsidR="00C41893" w:rsidRPr="00121608" w:rsidRDefault="00B25732" w:rsidP="00C41893">
      <w:pPr>
        <w:pStyle w:val="Heading1"/>
        <w:spacing w:line="240" w:lineRule="auto"/>
      </w:pPr>
      <w:bookmarkStart w:id="12" w:name="_Toc270318691"/>
      <w:bookmarkStart w:id="13" w:name="_Toc505024575"/>
      <w:r w:rsidRPr="00121608">
        <w:t>Anwendbarkeit von Maßnahmen</w:t>
      </w:r>
      <w:bookmarkEnd w:id="12"/>
      <w:bookmarkEnd w:id="13"/>
    </w:p>
    <w:p w14:paraId="384AA731" w14:textId="77777777" w:rsidR="00C72F91" w:rsidRPr="00121608" w:rsidRDefault="00606775" w:rsidP="00C41893">
      <w:r w:rsidRPr="00121608">
        <w:t xml:space="preserve">Die folgenden </w:t>
      </w:r>
      <w:commentRangeStart w:id="14"/>
      <w:r w:rsidRPr="00121608">
        <w:t xml:space="preserve">Maßnahmen aus ISO 27001 Anhang A </w:t>
      </w:r>
      <w:commentRangeEnd w:id="14"/>
      <w:r w:rsidR="00FA5255">
        <w:rPr>
          <w:rStyle w:val="CommentReference"/>
        </w:rPr>
        <w:commentReference w:id="14"/>
      </w:r>
      <w:r w:rsidRPr="00121608">
        <w:t>sind anwendbar</w:t>
      </w:r>
      <w:r w:rsidR="00C41893" w:rsidRPr="00121608">
        <w:t xml:space="preserve">: </w:t>
      </w:r>
    </w:p>
    <w:tbl>
      <w:tblPr>
        <w:tblW w:w="9555" w:type="dxa"/>
        <w:tblInd w:w="93" w:type="dxa"/>
        <w:tblLayout w:type="fixed"/>
        <w:tblLook w:val="04A0" w:firstRow="1" w:lastRow="0" w:firstColumn="1" w:lastColumn="0" w:noHBand="0" w:noVBand="1"/>
      </w:tblPr>
      <w:tblGrid>
        <w:gridCol w:w="1005"/>
        <w:gridCol w:w="2271"/>
        <w:gridCol w:w="992"/>
        <w:gridCol w:w="1134"/>
        <w:gridCol w:w="992"/>
        <w:gridCol w:w="2410"/>
        <w:gridCol w:w="751"/>
      </w:tblGrid>
      <w:tr w:rsidR="00667537" w:rsidRPr="00121608" w14:paraId="457038CD" w14:textId="77777777" w:rsidTr="00ED7EAC">
        <w:trPr>
          <w:cantSplit/>
          <w:trHeight w:val="255"/>
          <w:tblHeader/>
        </w:trPr>
        <w:tc>
          <w:tcPr>
            <w:tcW w:w="1005" w:type="dxa"/>
            <w:tcBorders>
              <w:top w:val="single" w:sz="4" w:space="0" w:color="C0C0C0"/>
              <w:left w:val="single" w:sz="4" w:space="0" w:color="C0C0C0"/>
              <w:bottom w:val="single" w:sz="4" w:space="0" w:color="C0C0C0"/>
              <w:right w:val="single" w:sz="4" w:space="0" w:color="C0C0C0"/>
            </w:tcBorders>
            <w:shd w:val="clear" w:color="auto" w:fill="0070C0"/>
            <w:noWrap/>
            <w:hideMark/>
          </w:tcPr>
          <w:p w14:paraId="22FCE735" w14:textId="77777777" w:rsidR="009125B3" w:rsidRPr="00121608" w:rsidRDefault="009125B3" w:rsidP="00ED7EAC">
            <w:pPr>
              <w:spacing w:after="0"/>
              <w:rPr>
                <w:rFonts w:cs="Arial"/>
                <w:color w:val="000000"/>
                <w:sz w:val="20"/>
              </w:rPr>
            </w:pPr>
            <w:r w:rsidRPr="00121608">
              <w:rPr>
                <w:color w:val="000000"/>
                <w:sz w:val="20"/>
              </w:rPr>
              <w:t>ID</w:t>
            </w:r>
          </w:p>
        </w:tc>
        <w:tc>
          <w:tcPr>
            <w:tcW w:w="2271" w:type="dxa"/>
            <w:tcBorders>
              <w:top w:val="single" w:sz="4" w:space="0" w:color="C0C0C0"/>
              <w:left w:val="nil"/>
              <w:bottom w:val="single" w:sz="4" w:space="0" w:color="C0C0C0"/>
              <w:right w:val="single" w:sz="4" w:space="0" w:color="C0C0C0"/>
            </w:tcBorders>
            <w:shd w:val="clear" w:color="auto" w:fill="0070C0"/>
            <w:noWrap/>
            <w:hideMark/>
          </w:tcPr>
          <w:p w14:paraId="5B3E9F04" w14:textId="77777777" w:rsidR="009125B3" w:rsidRPr="00121608" w:rsidRDefault="009125B3" w:rsidP="00C05595">
            <w:pPr>
              <w:spacing w:after="0"/>
              <w:rPr>
                <w:rFonts w:cs="Arial"/>
                <w:color w:val="000000"/>
                <w:sz w:val="20"/>
              </w:rPr>
            </w:pPr>
            <w:r w:rsidRPr="00121608">
              <w:rPr>
                <w:color w:val="000000"/>
                <w:sz w:val="20"/>
              </w:rPr>
              <w:t>Maßnahmen gemäß ISO/IEC 27001</w:t>
            </w:r>
          </w:p>
        </w:tc>
        <w:tc>
          <w:tcPr>
            <w:tcW w:w="992" w:type="dxa"/>
            <w:tcBorders>
              <w:top w:val="single" w:sz="4" w:space="0" w:color="C0C0C0"/>
              <w:left w:val="nil"/>
              <w:bottom w:val="single" w:sz="4" w:space="0" w:color="C0C0C0"/>
              <w:right w:val="single" w:sz="4" w:space="0" w:color="C0C0C0"/>
            </w:tcBorders>
            <w:shd w:val="clear" w:color="auto" w:fill="0070C0"/>
          </w:tcPr>
          <w:p w14:paraId="0C67303A" w14:textId="77777777" w:rsidR="00667537" w:rsidRDefault="009125B3" w:rsidP="00C41893">
            <w:pPr>
              <w:spacing w:after="0"/>
              <w:rPr>
                <w:color w:val="000000"/>
                <w:sz w:val="20"/>
              </w:rPr>
            </w:pPr>
            <w:r w:rsidRPr="00121608">
              <w:rPr>
                <w:color w:val="000000"/>
                <w:sz w:val="20"/>
              </w:rPr>
              <w:t>Anwend</w:t>
            </w:r>
            <w:r w:rsidR="00667537">
              <w:rPr>
                <w:color w:val="000000"/>
                <w:sz w:val="20"/>
              </w:rPr>
              <w:t>-</w:t>
            </w:r>
            <w:r w:rsidRPr="00121608">
              <w:rPr>
                <w:color w:val="000000"/>
                <w:sz w:val="20"/>
              </w:rPr>
              <w:t>barkeit (JA/</w:t>
            </w:r>
          </w:p>
          <w:p w14:paraId="6DB1D764" w14:textId="77777777" w:rsidR="009125B3" w:rsidRPr="00121608" w:rsidRDefault="009125B3" w:rsidP="00C41893">
            <w:pPr>
              <w:spacing w:after="0"/>
              <w:rPr>
                <w:rFonts w:cs="Arial"/>
                <w:color w:val="000000"/>
                <w:sz w:val="20"/>
              </w:rPr>
            </w:pPr>
            <w:r w:rsidRPr="00121608">
              <w:rPr>
                <w:color w:val="000000"/>
                <w:sz w:val="20"/>
              </w:rPr>
              <w:t>NEIN)</w:t>
            </w:r>
          </w:p>
        </w:tc>
        <w:tc>
          <w:tcPr>
            <w:tcW w:w="1134" w:type="dxa"/>
            <w:tcBorders>
              <w:top w:val="single" w:sz="4" w:space="0" w:color="C0C0C0"/>
              <w:left w:val="nil"/>
              <w:bottom w:val="single" w:sz="4" w:space="0" w:color="C0C0C0"/>
              <w:right w:val="single" w:sz="4" w:space="0" w:color="C0C0C0"/>
            </w:tcBorders>
            <w:shd w:val="clear" w:color="auto" w:fill="0070C0"/>
          </w:tcPr>
          <w:p w14:paraId="5AA10B9E" w14:textId="77777777" w:rsidR="009125B3" w:rsidRPr="00121608" w:rsidRDefault="009125B3" w:rsidP="00635E77">
            <w:pPr>
              <w:spacing w:after="0"/>
              <w:rPr>
                <w:rFonts w:cs="Arial"/>
                <w:color w:val="000000"/>
                <w:sz w:val="20"/>
              </w:rPr>
            </w:pPr>
            <w:r w:rsidRPr="00121608">
              <w:rPr>
                <w:color w:val="000000"/>
                <w:sz w:val="20"/>
              </w:rPr>
              <w:t xml:space="preserve">Grund für  </w:t>
            </w:r>
            <w:commentRangeStart w:id="15"/>
            <w:r w:rsidRPr="00121608">
              <w:rPr>
                <w:color w:val="000000"/>
                <w:sz w:val="20"/>
              </w:rPr>
              <w:t>Auswahl</w:t>
            </w:r>
            <w:commentRangeEnd w:id="15"/>
            <w:r w:rsidR="008C598A">
              <w:rPr>
                <w:rStyle w:val="CommentReference"/>
              </w:rPr>
              <w:commentReference w:id="15"/>
            </w:r>
            <w:r w:rsidRPr="00121608">
              <w:rPr>
                <w:color w:val="000000"/>
                <w:sz w:val="20"/>
              </w:rPr>
              <w:t>/ Ausschluss</w:t>
            </w:r>
          </w:p>
        </w:tc>
        <w:tc>
          <w:tcPr>
            <w:tcW w:w="992" w:type="dxa"/>
            <w:tcBorders>
              <w:top w:val="single" w:sz="4" w:space="0" w:color="C0C0C0"/>
              <w:left w:val="nil"/>
              <w:bottom w:val="single" w:sz="4" w:space="0" w:color="C0C0C0"/>
              <w:right w:val="single" w:sz="4" w:space="0" w:color="C0C0C0"/>
            </w:tcBorders>
            <w:shd w:val="clear" w:color="auto" w:fill="0070C0"/>
          </w:tcPr>
          <w:p w14:paraId="6F4782A3" w14:textId="77777777" w:rsidR="009125B3" w:rsidRPr="00121608" w:rsidRDefault="009125B3" w:rsidP="00062250">
            <w:pPr>
              <w:spacing w:after="0"/>
              <w:rPr>
                <w:rFonts w:cs="Arial"/>
                <w:color w:val="000000"/>
                <w:sz w:val="20"/>
              </w:rPr>
            </w:pPr>
            <w:commentRangeStart w:id="16"/>
            <w:commentRangeStart w:id="17"/>
            <w:r w:rsidRPr="00121608">
              <w:rPr>
                <w:color w:val="000000"/>
                <w:sz w:val="20"/>
              </w:rPr>
              <w:t>Maßnah</w:t>
            </w:r>
            <w:r>
              <w:rPr>
                <w:color w:val="000000"/>
                <w:sz w:val="20"/>
              </w:rPr>
              <w:t>-</w:t>
            </w:r>
            <w:r w:rsidRPr="00121608">
              <w:rPr>
                <w:color w:val="000000"/>
                <w:sz w:val="20"/>
              </w:rPr>
              <w:t>men</w:t>
            </w:r>
            <w:r>
              <w:rPr>
                <w:color w:val="000000"/>
                <w:sz w:val="20"/>
              </w:rPr>
              <w:t>z</w:t>
            </w:r>
            <w:r w:rsidRPr="00121608">
              <w:rPr>
                <w:color w:val="000000"/>
                <w:sz w:val="20"/>
              </w:rPr>
              <w:t>iele</w:t>
            </w:r>
            <w:commentRangeEnd w:id="16"/>
            <w:r w:rsidR="00FA5255">
              <w:rPr>
                <w:rStyle w:val="CommentReference"/>
              </w:rPr>
              <w:commentReference w:id="16"/>
            </w:r>
            <w:commentRangeEnd w:id="17"/>
            <w:r w:rsidR="008C598A">
              <w:rPr>
                <w:rStyle w:val="CommentReference"/>
              </w:rPr>
              <w:commentReference w:id="17"/>
            </w:r>
          </w:p>
        </w:tc>
        <w:tc>
          <w:tcPr>
            <w:tcW w:w="2410" w:type="dxa"/>
            <w:tcBorders>
              <w:top w:val="single" w:sz="4" w:space="0" w:color="C0C0C0"/>
              <w:left w:val="nil"/>
              <w:bottom w:val="single" w:sz="4" w:space="0" w:color="C0C0C0"/>
              <w:right w:val="single" w:sz="4" w:space="0" w:color="C0C0C0"/>
            </w:tcBorders>
            <w:shd w:val="clear" w:color="auto" w:fill="0070C0"/>
          </w:tcPr>
          <w:p w14:paraId="256BAA0B" w14:textId="77777777" w:rsidR="009125B3" w:rsidRPr="00121608" w:rsidRDefault="009125B3" w:rsidP="00062250">
            <w:pPr>
              <w:spacing w:after="0"/>
              <w:rPr>
                <w:rFonts w:cs="Arial"/>
                <w:color w:val="000000"/>
                <w:sz w:val="20"/>
              </w:rPr>
            </w:pPr>
            <w:commentRangeStart w:id="18"/>
            <w:r w:rsidRPr="00121608">
              <w:rPr>
                <w:color w:val="000000"/>
                <w:sz w:val="20"/>
              </w:rPr>
              <w:t>Umsetzungs-</w:t>
            </w:r>
            <w:r>
              <w:rPr>
                <w:color w:val="000000"/>
                <w:sz w:val="20"/>
              </w:rPr>
              <w:t>m</w:t>
            </w:r>
            <w:r w:rsidRPr="00121608">
              <w:rPr>
                <w:color w:val="000000"/>
                <w:sz w:val="20"/>
              </w:rPr>
              <w:t>ethode</w:t>
            </w:r>
            <w:commentRangeEnd w:id="18"/>
            <w:r w:rsidR="008C598A">
              <w:rPr>
                <w:rStyle w:val="CommentReference"/>
              </w:rPr>
              <w:commentReference w:id="18"/>
            </w:r>
          </w:p>
        </w:tc>
        <w:tc>
          <w:tcPr>
            <w:tcW w:w="751" w:type="dxa"/>
            <w:tcBorders>
              <w:top w:val="single" w:sz="4" w:space="0" w:color="C0C0C0"/>
              <w:left w:val="nil"/>
              <w:bottom w:val="single" w:sz="4" w:space="0" w:color="C0C0C0"/>
              <w:right w:val="single" w:sz="4" w:space="0" w:color="C0C0C0"/>
            </w:tcBorders>
            <w:shd w:val="clear" w:color="auto" w:fill="0070C0"/>
          </w:tcPr>
          <w:p w14:paraId="2E67212B" w14:textId="77777777" w:rsidR="009125B3" w:rsidRPr="00121608" w:rsidRDefault="009125B3" w:rsidP="00062250">
            <w:pPr>
              <w:spacing w:after="0"/>
              <w:rPr>
                <w:color w:val="000000"/>
                <w:sz w:val="20"/>
              </w:rPr>
            </w:pPr>
            <w:commentRangeStart w:id="19"/>
            <w:r>
              <w:rPr>
                <w:color w:val="000000"/>
                <w:sz w:val="20"/>
              </w:rPr>
              <w:t>Status</w:t>
            </w:r>
            <w:commentRangeEnd w:id="19"/>
            <w:r w:rsidR="008C598A">
              <w:rPr>
                <w:rStyle w:val="CommentReference"/>
              </w:rPr>
              <w:commentReference w:id="19"/>
            </w:r>
          </w:p>
        </w:tc>
      </w:tr>
      <w:tr w:rsidR="00667537" w:rsidRPr="00121608" w14:paraId="62D9552F" w14:textId="77777777" w:rsidTr="0099794B">
        <w:trPr>
          <w:cantSplit/>
          <w:trHeight w:val="255"/>
        </w:trPr>
        <w:tc>
          <w:tcPr>
            <w:tcW w:w="1005" w:type="dxa"/>
            <w:tcBorders>
              <w:top w:val="single" w:sz="4" w:space="0" w:color="C0C0C0"/>
              <w:left w:val="single" w:sz="4" w:space="0" w:color="C0C0C0"/>
              <w:bottom w:val="single" w:sz="4" w:space="0" w:color="C0C0C0"/>
              <w:right w:val="single" w:sz="4" w:space="0" w:color="C0C0C0"/>
            </w:tcBorders>
            <w:shd w:val="clear" w:color="auto" w:fill="D9D9D9"/>
            <w:noWrap/>
            <w:vAlign w:val="bottom"/>
            <w:hideMark/>
          </w:tcPr>
          <w:p w14:paraId="7D3FE391" w14:textId="77777777" w:rsidR="009125B3" w:rsidRPr="00121608" w:rsidRDefault="009125B3" w:rsidP="00C41893">
            <w:pPr>
              <w:spacing w:after="0"/>
              <w:rPr>
                <w:rFonts w:cs="Arial"/>
                <w:color w:val="000000"/>
                <w:sz w:val="20"/>
              </w:rPr>
            </w:pPr>
            <w:r w:rsidRPr="00121608">
              <w:rPr>
                <w:color w:val="000000"/>
                <w:sz w:val="20"/>
              </w:rPr>
              <w:t>A.5</w:t>
            </w:r>
          </w:p>
        </w:tc>
        <w:tc>
          <w:tcPr>
            <w:tcW w:w="2271" w:type="dxa"/>
            <w:tcBorders>
              <w:top w:val="single" w:sz="4" w:space="0" w:color="C0C0C0"/>
              <w:left w:val="nil"/>
              <w:bottom w:val="single" w:sz="4" w:space="0" w:color="C0C0C0"/>
              <w:right w:val="single" w:sz="4" w:space="0" w:color="C0C0C0"/>
            </w:tcBorders>
            <w:shd w:val="clear" w:color="auto" w:fill="D9D9D9"/>
            <w:noWrap/>
            <w:vAlign w:val="bottom"/>
            <w:hideMark/>
          </w:tcPr>
          <w:p w14:paraId="170A1C60" w14:textId="77777777" w:rsidR="009125B3" w:rsidRPr="00121608" w:rsidRDefault="00DD4BB3" w:rsidP="00DD4BB3">
            <w:pPr>
              <w:spacing w:after="0"/>
              <w:rPr>
                <w:rFonts w:cs="Arial"/>
                <w:color w:val="000000"/>
                <w:sz w:val="20"/>
              </w:rPr>
            </w:pPr>
            <w:r>
              <w:rPr>
                <w:color w:val="000000"/>
                <w:sz w:val="20"/>
              </w:rPr>
              <w:t>Sicherheitspolitik</w:t>
            </w:r>
          </w:p>
        </w:tc>
        <w:tc>
          <w:tcPr>
            <w:tcW w:w="992" w:type="dxa"/>
            <w:tcBorders>
              <w:top w:val="single" w:sz="4" w:space="0" w:color="C0C0C0"/>
              <w:left w:val="nil"/>
              <w:bottom w:val="single" w:sz="4" w:space="0" w:color="C0C0C0"/>
              <w:right w:val="single" w:sz="4" w:space="0" w:color="C0C0C0"/>
            </w:tcBorders>
            <w:shd w:val="clear" w:color="auto" w:fill="D9D9D9"/>
          </w:tcPr>
          <w:p w14:paraId="79EF5B86" w14:textId="77777777" w:rsidR="009125B3" w:rsidRPr="00121608" w:rsidRDefault="009125B3" w:rsidP="00C41893">
            <w:pPr>
              <w:spacing w:after="0"/>
              <w:rPr>
                <w:rFonts w:cs="Arial"/>
                <w:color w:val="000000"/>
                <w:sz w:val="20"/>
              </w:rPr>
            </w:pPr>
          </w:p>
        </w:tc>
        <w:tc>
          <w:tcPr>
            <w:tcW w:w="1134" w:type="dxa"/>
            <w:tcBorders>
              <w:top w:val="single" w:sz="4" w:space="0" w:color="C0C0C0"/>
              <w:left w:val="nil"/>
              <w:bottom w:val="single" w:sz="4" w:space="0" w:color="C0C0C0"/>
              <w:right w:val="single" w:sz="4" w:space="0" w:color="C0C0C0"/>
            </w:tcBorders>
            <w:shd w:val="clear" w:color="auto" w:fill="D9D9D9"/>
          </w:tcPr>
          <w:p w14:paraId="6E971CE9" w14:textId="77777777" w:rsidR="009125B3" w:rsidRPr="00121608" w:rsidRDefault="009125B3" w:rsidP="00C41893">
            <w:pPr>
              <w:spacing w:after="0"/>
              <w:rPr>
                <w:rFonts w:cs="Arial"/>
                <w:color w:val="000000"/>
                <w:sz w:val="20"/>
              </w:rPr>
            </w:pPr>
          </w:p>
        </w:tc>
        <w:tc>
          <w:tcPr>
            <w:tcW w:w="992" w:type="dxa"/>
            <w:tcBorders>
              <w:top w:val="single" w:sz="4" w:space="0" w:color="C0C0C0"/>
              <w:left w:val="nil"/>
              <w:bottom w:val="single" w:sz="4" w:space="0" w:color="C0C0C0"/>
              <w:right w:val="single" w:sz="4" w:space="0" w:color="C0C0C0"/>
            </w:tcBorders>
            <w:shd w:val="clear" w:color="auto" w:fill="D9D9D9"/>
          </w:tcPr>
          <w:p w14:paraId="363D12F4" w14:textId="77777777" w:rsidR="009125B3" w:rsidRPr="00121608" w:rsidRDefault="009125B3" w:rsidP="00C41893">
            <w:pPr>
              <w:spacing w:after="0"/>
              <w:rPr>
                <w:rFonts w:cs="Arial"/>
                <w:color w:val="000000"/>
                <w:sz w:val="20"/>
              </w:rPr>
            </w:pPr>
          </w:p>
        </w:tc>
        <w:tc>
          <w:tcPr>
            <w:tcW w:w="2410" w:type="dxa"/>
            <w:tcBorders>
              <w:top w:val="single" w:sz="4" w:space="0" w:color="C0C0C0"/>
              <w:left w:val="nil"/>
              <w:bottom w:val="single" w:sz="4" w:space="0" w:color="C0C0C0"/>
              <w:right w:val="single" w:sz="4" w:space="0" w:color="C0C0C0"/>
            </w:tcBorders>
            <w:shd w:val="clear" w:color="auto" w:fill="D9D9D9"/>
          </w:tcPr>
          <w:p w14:paraId="600CDB4D" w14:textId="77777777" w:rsidR="009125B3" w:rsidRPr="00121608" w:rsidRDefault="009125B3" w:rsidP="00C41893">
            <w:pPr>
              <w:spacing w:after="0"/>
              <w:rPr>
                <w:rFonts w:cs="Arial"/>
                <w:color w:val="000000"/>
                <w:sz w:val="20"/>
              </w:rPr>
            </w:pPr>
          </w:p>
        </w:tc>
        <w:tc>
          <w:tcPr>
            <w:tcW w:w="751" w:type="dxa"/>
            <w:tcBorders>
              <w:top w:val="single" w:sz="4" w:space="0" w:color="C0C0C0"/>
              <w:left w:val="nil"/>
              <w:bottom w:val="single" w:sz="4" w:space="0" w:color="C0C0C0"/>
              <w:right w:val="single" w:sz="4" w:space="0" w:color="C0C0C0"/>
            </w:tcBorders>
            <w:shd w:val="clear" w:color="auto" w:fill="D9D9D9"/>
          </w:tcPr>
          <w:p w14:paraId="68460FCF" w14:textId="77777777" w:rsidR="009125B3" w:rsidRPr="00121608" w:rsidRDefault="009125B3" w:rsidP="00C41893">
            <w:pPr>
              <w:spacing w:after="0"/>
              <w:rPr>
                <w:rFonts w:cs="Arial"/>
                <w:color w:val="000000"/>
                <w:sz w:val="20"/>
              </w:rPr>
            </w:pPr>
          </w:p>
        </w:tc>
      </w:tr>
      <w:tr w:rsidR="00667537" w:rsidRPr="00121608" w14:paraId="30A78039" w14:textId="77777777" w:rsidTr="0099794B">
        <w:trPr>
          <w:cantSplit/>
          <w:trHeight w:val="255"/>
        </w:trPr>
        <w:tc>
          <w:tcPr>
            <w:tcW w:w="1005" w:type="dxa"/>
            <w:tcBorders>
              <w:top w:val="nil"/>
              <w:left w:val="single" w:sz="4" w:space="0" w:color="C0C0C0"/>
              <w:bottom w:val="single" w:sz="4" w:space="0" w:color="C0C0C0"/>
              <w:right w:val="single" w:sz="4" w:space="0" w:color="C0C0C0"/>
            </w:tcBorders>
            <w:shd w:val="clear" w:color="auto" w:fill="F2F2F2"/>
            <w:noWrap/>
            <w:vAlign w:val="bottom"/>
            <w:hideMark/>
          </w:tcPr>
          <w:p w14:paraId="46A5D5DF" w14:textId="77777777" w:rsidR="009125B3" w:rsidRPr="00121608" w:rsidRDefault="009125B3" w:rsidP="00C41893">
            <w:pPr>
              <w:spacing w:after="0"/>
              <w:rPr>
                <w:rFonts w:cs="Arial"/>
                <w:color w:val="000000"/>
                <w:sz w:val="20"/>
              </w:rPr>
            </w:pPr>
            <w:r w:rsidRPr="00121608">
              <w:rPr>
                <w:color w:val="000000"/>
                <w:sz w:val="20"/>
              </w:rPr>
              <w:t xml:space="preserve">A.5.1 </w:t>
            </w:r>
          </w:p>
        </w:tc>
        <w:tc>
          <w:tcPr>
            <w:tcW w:w="2271" w:type="dxa"/>
            <w:tcBorders>
              <w:top w:val="nil"/>
              <w:left w:val="nil"/>
              <w:bottom w:val="single" w:sz="4" w:space="0" w:color="C0C0C0"/>
              <w:right w:val="single" w:sz="4" w:space="0" w:color="C0C0C0"/>
            </w:tcBorders>
            <w:shd w:val="clear" w:color="auto" w:fill="F2F2F2"/>
            <w:noWrap/>
            <w:vAlign w:val="bottom"/>
            <w:hideMark/>
          </w:tcPr>
          <w:p w14:paraId="630AB822" w14:textId="77777777" w:rsidR="009125B3" w:rsidRPr="00121608" w:rsidRDefault="00F872D1" w:rsidP="00F872D1">
            <w:pPr>
              <w:spacing w:after="0"/>
              <w:rPr>
                <w:rFonts w:cs="Arial"/>
                <w:color w:val="000000"/>
                <w:sz w:val="20"/>
              </w:rPr>
            </w:pPr>
            <w:r>
              <w:rPr>
                <w:color w:val="000000"/>
                <w:sz w:val="20"/>
              </w:rPr>
              <w:t xml:space="preserve">Management-Leitlinien zur </w:t>
            </w:r>
            <w:r w:rsidR="009125B3" w:rsidRPr="00121608">
              <w:rPr>
                <w:color w:val="000000"/>
                <w:sz w:val="20"/>
              </w:rPr>
              <w:t>Informationssicherheit</w:t>
            </w:r>
          </w:p>
        </w:tc>
        <w:tc>
          <w:tcPr>
            <w:tcW w:w="992" w:type="dxa"/>
            <w:tcBorders>
              <w:top w:val="nil"/>
              <w:left w:val="nil"/>
              <w:bottom w:val="single" w:sz="4" w:space="0" w:color="C0C0C0"/>
              <w:right w:val="single" w:sz="4" w:space="0" w:color="C0C0C0"/>
            </w:tcBorders>
            <w:shd w:val="clear" w:color="auto" w:fill="F2F2F2"/>
          </w:tcPr>
          <w:p w14:paraId="2D46CE50" w14:textId="77777777" w:rsidR="009125B3" w:rsidRPr="00121608" w:rsidRDefault="009125B3" w:rsidP="00C41893">
            <w:pPr>
              <w:spacing w:after="0"/>
              <w:rPr>
                <w:rFonts w:cs="Arial"/>
                <w:color w:val="000000"/>
                <w:sz w:val="20"/>
              </w:rPr>
            </w:pPr>
          </w:p>
        </w:tc>
        <w:tc>
          <w:tcPr>
            <w:tcW w:w="1134" w:type="dxa"/>
            <w:tcBorders>
              <w:top w:val="nil"/>
              <w:left w:val="nil"/>
              <w:bottom w:val="single" w:sz="4" w:space="0" w:color="C0C0C0"/>
              <w:right w:val="single" w:sz="4" w:space="0" w:color="C0C0C0"/>
            </w:tcBorders>
            <w:shd w:val="clear" w:color="auto" w:fill="F2F2F2"/>
          </w:tcPr>
          <w:p w14:paraId="1065A45D" w14:textId="77777777" w:rsidR="009125B3" w:rsidRPr="00121608" w:rsidRDefault="009125B3" w:rsidP="00C41893">
            <w:pPr>
              <w:spacing w:after="0"/>
              <w:rPr>
                <w:rFonts w:cs="Arial"/>
                <w:color w:val="000000"/>
                <w:sz w:val="20"/>
              </w:rPr>
            </w:pPr>
          </w:p>
        </w:tc>
        <w:tc>
          <w:tcPr>
            <w:tcW w:w="992" w:type="dxa"/>
            <w:tcBorders>
              <w:top w:val="nil"/>
              <w:left w:val="nil"/>
              <w:bottom w:val="single" w:sz="4" w:space="0" w:color="C0C0C0"/>
              <w:right w:val="single" w:sz="4" w:space="0" w:color="C0C0C0"/>
            </w:tcBorders>
            <w:shd w:val="clear" w:color="auto" w:fill="F2F2F2"/>
          </w:tcPr>
          <w:p w14:paraId="265F3A56" w14:textId="77777777" w:rsidR="009125B3" w:rsidRPr="00121608" w:rsidRDefault="009125B3" w:rsidP="00C41893">
            <w:pPr>
              <w:spacing w:after="0"/>
              <w:rPr>
                <w:rFonts w:cs="Arial"/>
                <w:color w:val="000000"/>
                <w:sz w:val="20"/>
              </w:rPr>
            </w:pPr>
          </w:p>
        </w:tc>
        <w:tc>
          <w:tcPr>
            <w:tcW w:w="2410" w:type="dxa"/>
            <w:tcBorders>
              <w:top w:val="nil"/>
              <w:left w:val="nil"/>
              <w:bottom w:val="single" w:sz="4" w:space="0" w:color="C0C0C0"/>
              <w:right w:val="single" w:sz="4" w:space="0" w:color="C0C0C0"/>
            </w:tcBorders>
            <w:shd w:val="clear" w:color="auto" w:fill="F2F2F2"/>
          </w:tcPr>
          <w:p w14:paraId="2E4DB1B6" w14:textId="77777777" w:rsidR="009125B3" w:rsidRPr="00121608" w:rsidRDefault="009125B3" w:rsidP="00C41893">
            <w:pPr>
              <w:spacing w:after="0"/>
              <w:rPr>
                <w:rFonts w:cs="Arial"/>
                <w:color w:val="000000"/>
                <w:sz w:val="20"/>
              </w:rPr>
            </w:pPr>
          </w:p>
        </w:tc>
        <w:tc>
          <w:tcPr>
            <w:tcW w:w="751" w:type="dxa"/>
            <w:tcBorders>
              <w:top w:val="nil"/>
              <w:left w:val="nil"/>
              <w:bottom w:val="single" w:sz="4" w:space="0" w:color="C0C0C0"/>
              <w:right w:val="single" w:sz="4" w:space="0" w:color="C0C0C0"/>
            </w:tcBorders>
            <w:shd w:val="clear" w:color="auto" w:fill="F2F2F2"/>
          </w:tcPr>
          <w:p w14:paraId="75A75CFE" w14:textId="77777777" w:rsidR="009125B3" w:rsidRPr="00121608" w:rsidRDefault="009125B3" w:rsidP="00C41893">
            <w:pPr>
              <w:spacing w:after="0"/>
              <w:rPr>
                <w:rFonts w:cs="Arial"/>
                <w:color w:val="000000"/>
                <w:sz w:val="20"/>
              </w:rPr>
            </w:pPr>
          </w:p>
        </w:tc>
      </w:tr>
      <w:tr w:rsidR="00446A36" w:rsidRPr="00121608" w14:paraId="78A66355" w14:textId="77777777" w:rsidTr="0099794B">
        <w:trPr>
          <w:cantSplit/>
          <w:trHeight w:val="255"/>
        </w:trPr>
        <w:tc>
          <w:tcPr>
            <w:tcW w:w="1005" w:type="dxa"/>
            <w:tcBorders>
              <w:top w:val="nil"/>
              <w:left w:val="single" w:sz="4" w:space="0" w:color="C0C0C0"/>
              <w:bottom w:val="single" w:sz="4" w:space="0" w:color="C0C0C0"/>
              <w:right w:val="single" w:sz="4" w:space="0" w:color="C0C0C0"/>
            </w:tcBorders>
            <w:shd w:val="clear" w:color="auto" w:fill="auto"/>
            <w:noWrap/>
            <w:vAlign w:val="bottom"/>
            <w:hideMark/>
          </w:tcPr>
          <w:p w14:paraId="24EEDF9A" w14:textId="77777777" w:rsidR="009125B3" w:rsidRPr="00121608" w:rsidRDefault="009125B3" w:rsidP="00C41893">
            <w:pPr>
              <w:spacing w:after="0"/>
              <w:rPr>
                <w:rFonts w:cs="Arial"/>
                <w:color w:val="000000"/>
                <w:sz w:val="20"/>
              </w:rPr>
            </w:pPr>
            <w:r w:rsidRPr="00121608">
              <w:rPr>
                <w:color w:val="000000"/>
                <w:sz w:val="20"/>
              </w:rPr>
              <w:t>A.5.1.1</w:t>
            </w:r>
          </w:p>
        </w:tc>
        <w:tc>
          <w:tcPr>
            <w:tcW w:w="2271" w:type="dxa"/>
            <w:tcBorders>
              <w:top w:val="nil"/>
              <w:left w:val="nil"/>
              <w:bottom w:val="single" w:sz="4" w:space="0" w:color="C0C0C0"/>
              <w:right w:val="single" w:sz="4" w:space="0" w:color="C0C0C0"/>
            </w:tcBorders>
            <w:shd w:val="clear" w:color="auto" w:fill="auto"/>
            <w:noWrap/>
            <w:vAlign w:val="bottom"/>
            <w:hideMark/>
          </w:tcPr>
          <w:p w14:paraId="7B04E910" w14:textId="77777777" w:rsidR="009125B3" w:rsidRPr="00121608" w:rsidRDefault="009125B3" w:rsidP="00C41893">
            <w:pPr>
              <w:spacing w:after="0"/>
              <w:rPr>
                <w:rFonts w:cs="Arial"/>
                <w:color w:val="000000"/>
                <w:sz w:val="20"/>
              </w:rPr>
            </w:pPr>
            <w:r w:rsidRPr="00121608">
              <w:rPr>
                <w:color w:val="000000"/>
                <w:sz w:val="20"/>
              </w:rPr>
              <w:t>Informationssicherheit</w:t>
            </w:r>
            <w:r w:rsidR="00DD4BB3">
              <w:rPr>
                <w:color w:val="000000"/>
                <w:sz w:val="20"/>
              </w:rPr>
              <w:t>s-politik</w:t>
            </w:r>
          </w:p>
        </w:tc>
        <w:tc>
          <w:tcPr>
            <w:tcW w:w="992" w:type="dxa"/>
            <w:tcBorders>
              <w:top w:val="nil"/>
              <w:left w:val="nil"/>
              <w:bottom w:val="single" w:sz="4" w:space="0" w:color="C0C0C0"/>
              <w:right w:val="single" w:sz="4" w:space="0" w:color="C0C0C0"/>
            </w:tcBorders>
          </w:tcPr>
          <w:p w14:paraId="066E0E04" w14:textId="77777777" w:rsidR="009125B3" w:rsidRPr="00121608" w:rsidRDefault="009125B3" w:rsidP="00C41893">
            <w:pPr>
              <w:spacing w:after="0"/>
              <w:rPr>
                <w:rFonts w:cs="Arial"/>
                <w:color w:val="000000"/>
                <w:sz w:val="20"/>
              </w:rPr>
            </w:pPr>
          </w:p>
        </w:tc>
        <w:tc>
          <w:tcPr>
            <w:tcW w:w="1134" w:type="dxa"/>
            <w:tcBorders>
              <w:top w:val="nil"/>
              <w:left w:val="nil"/>
              <w:bottom w:val="single" w:sz="4" w:space="0" w:color="C0C0C0"/>
              <w:right w:val="single" w:sz="4" w:space="0" w:color="C0C0C0"/>
            </w:tcBorders>
          </w:tcPr>
          <w:p w14:paraId="471C6507" w14:textId="77777777" w:rsidR="009125B3" w:rsidRPr="00121608" w:rsidRDefault="009125B3" w:rsidP="00C41893">
            <w:pPr>
              <w:spacing w:after="0"/>
              <w:rPr>
                <w:rFonts w:cs="Arial"/>
                <w:color w:val="000000"/>
                <w:sz w:val="20"/>
              </w:rPr>
            </w:pPr>
          </w:p>
        </w:tc>
        <w:tc>
          <w:tcPr>
            <w:tcW w:w="992" w:type="dxa"/>
            <w:tcBorders>
              <w:top w:val="nil"/>
              <w:left w:val="nil"/>
              <w:bottom w:val="single" w:sz="4" w:space="0" w:color="C0C0C0"/>
              <w:right w:val="single" w:sz="4" w:space="0" w:color="C0C0C0"/>
            </w:tcBorders>
          </w:tcPr>
          <w:p w14:paraId="275C9283" w14:textId="77777777" w:rsidR="009125B3" w:rsidRPr="00121608" w:rsidRDefault="009125B3" w:rsidP="00C41893">
            <w:pPr>
              <w:spacing w:after="0"/>
              <w:rPr>
                <w:rFonts w:cs="Arial"/>
                <w:color w:val="000000"/>
                <w:sz w:val="20"/>
              </w:rPr>
            </w:pPr>
          </w:p>
        </w:tc>
        <w:tc>
          <w:tcPr>
            <w:tcW w:w="2410" w:type="dxa"/>
            <w:tcBorders>
              <w:top w:val="nil"/>
              <w:left w:val="nil"/>
              <w:bottom w:val="single" w:sz="4" w:space="0" w:color="C0C0C0"/>
              <w:right w:val="single" w:sz="4" w:space="0" w:color="C0C0C0"/>
            </w:tcBorders>
          </w:tcPr>
          <w:p w14:paraId="256D84AE" w14:textId="77777777" w:rsidR="009125B3" w:rsidRPr="00121608" w:rsidRDefault="0034312B" w:rsidP="0034312B">
            <w:pPr>
              <w:spacing w:after="0"/>
              <w:rPr>
                <w:rFonts w:cs="Arial"/>
                <w:color w:val="000000"/>
                <w:sz w:val="20"/>
              </w:rPr>
            </w:pPr>
            <w:r>
              <w:rPr>
                <w:color w:val="000000"/>
                <w:sz w:val="20"/>
              </w:rPr>
              <w:t>Alle Richtlinien, auf die in dieser Spalte nachstehend hingewiesen wird.</w:t>
            </w:r>
          </w:p>
        </w:tc>
        <w:tc>
          <w:tcPr>
            <w:tcW w:w="751" w:type="dxa"/>
            <w:tcBorders>
              <w:top w:val="nil"/>
              <w:left w:val="nil"/>
              <w:bottom w:val="single" w:sz="4" w:space="0" w:color="C0C0C0"/>
              <w:right w:val="single" w:sz="4" w:space="0" w:color="C0C0C0"/>
            </w:tcBorders>
          </w:tcPr>
          <w:p w14:paraId="7587DFEC" w14:textId="77777777" w:rsidR="009125B3" w:rsidRPr="00121608" w:rsidRDefault="009125B3" w:rsidP="00C41893">
            <w:pPr>
              <w:spacing w:after="0"/>
              <w:rPr>
                <w:color w:val="000000"/>
                <w:sz w:val="20"/>
              </w:rPr>
            </w:pPr>
          </w:p>
        </w:tc>
      </w:tr>
      <w:tr w:rsidR="00446A36" w:rsidRPr="00121608" w14:paraId="45A9621F" w14:textId="77777777" w:rsidTr="0099794B">
        <w:trPr>
          <w:cantSplit/>
          <w:trHeight w:val="255"/>
        </w:trPr>
        <w:tc>
          <w:tcPr>
            <w:tcW w:w="1005" w:type="dxa"/>
            <w:tcBorders>
              <w:top w:val="nil"/>
              <w:left w:val="single" w:sz="4" w:space="0" w:color="C0C0C0"/>
              <w:bottom w:val="single" w:sz="4" w:space="0" w:color="C0C0C0"/>
              <w:right w:val="single" w:sz="4" w:space="0" w:color="C0C0C0"/>
            </w:tcBorders>
            <w:shd w:val="clear" w:color="auto" w:fill="auto"/>
            <w:noWrap/>
            <w:vAlign w:val="bottom"/>
            <w:hideMark/>
          </w:tcPr>
          <w:p w14:paraId="223DA4CC" w14:textId="77777777" w:rsidR="009125B3" w:rsidRPr="00121608" w:rsidRDefault="009125B3" w:rsidP="00C41893">
            <w:pPr>
              <w:spacing w:after="0"/>
              <w:rPr>
                <w:rFonts w:cs="Arial"/>
                <w:color w:val="000000"/>
                <w:sz w:val="20"/>
              </w:rPr>
            </w:pPr>
            <w:r w:rsidRPr="00121608">
              <w:rPr>
                <w:color w:val="000000"/>
                <w:sz w:val="20"/>
              </w:rPr>
              <w:t>A.5.1.2</w:t>
            </w:r>
          </w:p>
        </w:tc>
        <w:tc>
          <w:tcPr>
            <w:tcW w:w="2271" w:type="dxa"/>
            <w:tcBorders>
              <w:top w:val="nil"/>
              <w:left w:val="nil"/>
              <w:bottom w:val="single" w:sz="4" w:space="0" w:color="C0C0C0"/>
              <w:right w:val="single" w:sz="4" w:space="0" w:color="C0C0C0"/>
            </w:tcBorders>
            <w:shd w:val="clear" w:color="auto" w:fill="auto"/>
            <w:noWrap/>
            <w:vAlign w:val="bottom"/>
            <w:hideMark/>
          </w:tcPr>
          <w:p w14:paraId="31E7F5C2" w14:textId="77777777" w:rsidR="009125B3" w:rsidRPr="00121608" w:rsidRDefault="009125B3" w:rsidP="00C41893">
            <w:pPr>
              <w:spacing w:after="0"/>
              <w:rPr>
                <w:rFonts w:cs="Arial"/>
                <w:color w:val="000000"/>
                <w:sz w:val="20"/>
              </w:rPr>
            </w:pPr>
            <w:r w:rsidRPr="00121608">
              <w:rPr>
                <w:color w:val="000000"/>
                <w:sz w:val="20"/>
              </w:rPr>
              <w:t xml:space="preserve">Überprüfung der </w:t>
            </w:r>
            <w:r w:rsidR="00DD4BB3">
              <w:rPr>
                <w:color w:val="000000"/>
                <w:sz w:val="20"/>
              </w:rPr>
              <w:t>Informationssicherheits-politik</w:t>
            </w:r>
          </w:p>
        </w:tc>
        <w:tc>
          <w:tcPr>
            <w:tcW w:w="992" w:type="dxa"/>
            <w:tcBorders>
              <w:top w:val="nil"/>
              <w:left w:val="nil"/>
              <w:bottom w:val="single" w:sz="4" w:space="0" w:color="C0C0C0"/>
              <w:right w:val="single" w:sz="4" w:space="0" w:color="C0C0C0"/>
            </w:tcBorders>
          </w:tcPr>
          <w:p w14:paraId="2ACBF08A" w14:textId="77777777" w:rsidR="009125B3" w:rsidRPr="00121608" w:rsidRDefault="009125B3" w:rsidP="00C41893">
            <w:pPr>
              <w:spacing w:after="0"/>
              <w:rPr>
                <w:rFonts w:cs="Arial"/>
                <w:color w:val="000000"/>
                <w:sz w:val="20"/>
              </w:rPr>
            </w:pPr>
          </w:p>
        </w:tc>
        <w:tc>
          <w:tcPr>
            <w:tcW w:w="1134" w:type="dxa"/>
            <w:tcBorders>
              <w:top w:val="nil"/>
              <w:left w:val="nil"/>
              <w:bottom w:val="single" w:sz="4" w:space="0" w:color="C0C0C0"/>
              <w:right w:val="single" w:sz="4" w:space="0" w:color="C0C0C0"/>
            </w:tcBorders>
          </w:tcPr>
          <w:p w14:paraId="6CD7A889" w14:textId="77777777" w:rsidR="009125B3" w:rsidRPr="00121608" w:rsidRDefault="009125B3" w:rsidP="00C41893">
            <w:pPr>
              <w:spacing w:after="0"/>
              <w:rPr>
                <w:rFonts w:cs="Arial"/>
                <w:color w:val="000000"/>
                <w:sz w:val="20"/>
              </w:rPr>
            </w:pPr>
          </w:p>
        </w:tc>
        <w:tc>
          <w:tcPr>
            <w:tcW w:w="992" w:type="dxa"/>
            <w:tcBorders>
              <w:top w:val="nil"/>
              <w:left w:val="nil"/>
              <w:bottom w:val="single" w:sz="4" w:space="0" w:color="C0C0C0"/>
              <w:right w:val="single" w:sz="4" w:space="0" w:color="C0C0C0"/>
            </w:tcBorders>
          </w:tcPr>
          <w:p w14:paraId="286977C6" w14:textId="77777777" w:rsidR="009125B3" w:rsidRPr="00121608" w:rsidRDefault="009125B3" w:rsidP="00C41893">
            <w:pPr>
              <w:spacing w:after="0"/>
              <w:rPr>
                <w:rFonts w:cs="Arial"/>
                <w:color w:val="000000"/>
                <w:sz w:val="20"/>
              </w:rPr>
            </w:pPr>
          </w:p>
        </w:tc>
        <w:tc>
          <w:tcPr>
            <w:tcW w:w="2410" w:type="dxa"/>
            <w:tcBorders>
              <w:top w:val="nil"/>
              <w:left w:val="nil"/>
              <w:bottom w:val="single" w:sz="4" w:space="0" w:color="C0C0C0"/>
              <w:right w:val="single" w:sz="4" w:space="0" w:color="C0C0C0"/>
            </w:tcBorders>
          </w:tcPr>
          <w:p w14:paraId="71249EE6" w14:textId="77777777" w:rsidR="009125B3" w:rsidRPr="00121608" w:rsidRDefault="0034312B" w:rsidP="0034312B">
            <w:pPr>
              <w:spacing w:after="0"/>
              <w:rPr>
                <w:rFonts w:cs="Arial"/>
                <w:color w:val="000000"/>
                <w:sz w:val="20"/>
              </w:rPr>
            </w:pPr>
            <w:r>
              <w:rPr>
                <w:color w:val="000000"/>
                <w:sz w:val="20"/>
              </w:rPr>
              <w:t>Jede Richtlinie mit einem designierten Eigentümer, welcher das Dokument in vorgeplanten Intervallen zu überprüfen hat.</w:t>
            </w:r>
          </w:p>
        </w:tc>
        <w:tc>
          <w:tcPr>
            <w:tcW w:w="751" w:type="dxa"/>
            <w:tcBorders>
              <w:top w:val="nil"/>
              <w:left w:val="nil"/>
              <w:bottom w:val="single" w:sz="4" w:space="0" w:color="C0C0C0"/>
              <w:right w:val="single" w:sz="4" w:space="0" w:color="C0C0C0"/>
            </w:tcBorders>
          </w:tcPr>
          <w:p w14:paraId="24F0D1B2" w14:textId="77777777" w:rsidR="009125B3" w:rsidRPr="00121608" w:rsidRDefault="009125B3" w:rsidP="00C41893">
            <w:pPr>
              <w:spacing w:after="0"/>
              <w:rPr>
                <w:color w:val="000000"/>
                <w:sz w:val="20"/>
              </w:rPr>
            </w:pPr>
          </w:p>
        </w:tc>
      </w:tr>
      <w:tr w:rsidR="00667537" w:rsidRPr="00121608" w14:paraId="4649B31C" w14:textId="77777777" w:rsidTr="0099794B">
        <w:trPr>
          <w:cantSplit/>
          <w:trHeight w:val="255"/>
        </w:trPr>
        <w:tc>
          <w:tcPr>
            <w:tcW w:w="1005" w:type="dxa"/>
            <w:tcBorders>
              <w:top w:val="nil"/>
              <w:left w:val="single" w:sz="4" w:space="0" w:color="C0C0C0"/>
              <w:bottom w:val="single" w:sz="4" w:space="0" w:color="C0C0C0"/>
              <w:right w:val="single" w:sz="4" w:space="0" w:color="C0C0C0"/>
            </w:tcBorders>
            <w:shd w:val="clear" w:color="auto" w:fill="D9D9D9"/>
            <w:noWrap/>
            <w:vAlign w:val="bottom"/>
            <w:hideMark/>
          </w:tcPr>
          <w:p w14:paraId="0E260B8B" w14:textId="77777777" w:rsidR="009125B3" w:rsidRPr="00121608" w:rsidRDefault="009125B3" w:rsidP="00C41893">
            <w:pPr>
              <w:spacing w:after="0"/>
              <w:rPr>
                <w:rFonts w:cs="Arial"/>
                <w:color w:val="000000"/>
                <w:sz w:val="20"/>
              </w:rPr>
            </w:pPr>
            <w:r w:rsidRPr="00121608">
              <w:rPr>
                <w:color w:val="000000"/>
                <w:sz w:val="20"/>
              </w:rPr>
              <w:t>A.6</w:t>
            </w:r>
          </w:p>
        </w:tc>
        <w:tc>
          <w:tcPr>
            <w:tcW w:w="2271" w:type="dxa"/>
            <w:tcBorders>
              <w:top w:val="nil"/>
              <w:left w:val="nil"/>
              <w:bottom w:val="single" w:sz="4" w:space="0" w:color="C0C0C0"/>
              <w:right w:val="single" w:sz="4" w:space="0" w:color="C0C0C0"/>
            </w:tcBorders>
            <w:shd w:val="clear" w:color="auto" w:fill="D9D9D9"/>
            <w:noWrap/>
            <w:vAlign w:val="bottom"/>
            <w:hideMark/>
          </w:tcPr>
          <w:p w14:paraId="64958386" w14:textId="77777777" w:rsidR="009125B3" w:rsidRPr="00121608" w:rsidRDefault="009125B3" w:rsidP="004B6700">
            <w:pPr>
              <w:spacing w:after="0"/>
              <w:rPr>
                <w:rFonts w:cs="Arial"/>
                <w:color w:val="000000"/>
                <w:sz w:val="20"/>
              </w:rPr>
            </w:pPr>
            <w:r w:rsidRPr="00121608">
              <w:rPr>
                <w:color w:val="000000"/>
                <w:sz w:val="20"/>
              </w:rPr>
              <w:t>Organisation der Informationssicherheit</w:t>
            </w:r>
          </w:p>
        </w:tc>
        <w:tc>
          <w:tcPr>
            <w:tcW w:w="992" w:type="dxa"/>
            <w:tcBorders>
              <w:top w:val="nil"/>
              <w:left w:val="nil"/>
              <w:bottom w:val="single" w:sz="4" w:space="0" w:color="C0C0C0"/>
              <w:right w:val="single" w:sz="4" w:space="0" w:color="C0C0C0"/>
            </w:tcBorders>
            <w:shd w:val="clear" w:color="auto" w:fill="D9D9D9"/>
          </w:tcPr>
          <w:p w14:paraId="56E39614" w14:textId="77777777" w:rsidR="009125B3" w:rsidRPr="00121608" w:rsidRDefault="009125B3" w:rsidP="00C41893">
            <w:pPr>
              <w:spacing w:after="0"/>
              <w:rPr>
                <w:rFonts w:cs="Arial"/>
                <w:color w:val="000000"/>
                <w:sz w:val="20"/>
              </w:rPr>
            </w:pPr>
          </w:p>
        </w:tc>
        <w:tc>
          <w:tcPr>
            <w:tcW w:w="1134" w:type="dxa"/>
            <w:tcBorders>
              <w:top w:val="nil"/>
              <w:left w:val="nil"/>
              <w:bottom w:val="single" w:sz="4" w:space="0" w:color="C0C0C0"/>
              <w:right w:val="single" w:sz="4" w:space="0" w:color="C0C0C0"/>
            </w:tcBorders>
            <w:shd w:val="clear" w:color="auto" w:fill="D9D9D9"/>
          </w:tcPr>
          <w:p w14:paraId="74015468" w14:textId="77777777" w:rsidR="009125B3" w:rsidRPr="00121608" w:rsidRDefault="009125B3" w:rsidP="00C41893">
            <w:pPr>
              <w:spacing w:after="0"/>
              <w:rPr>
                <w:rFonts w:cs="Arial"/>
                <w:color w:val="000000"/>
                <w:sz w:val="20"/>
              </w:rPr>
            </w:pPr>
          </w:p>
        </w:tc>
        <w:tc>
          <w:tcPr>
            <w:tcW w:w="992" w:type="dxa"/>
            <w:tcBorders>
              <w:top w:val="nil"/>
              <w:left w:val="nil"/>
              <w:bottom w:val="single" w:sz="4" w:space="0" w:color="C0C0C0"/>
              <w:right w:val="single" w:sz="4" w:space="0" w:color="C0C0C0"/>
            </w:tcBorders>
            <w:shd w:val="clear" w:color="auto" w:fill="D9D9D9"/>
          </w:tcPr>
          <w:p w14:paraId="720FFD22" w14:textId="77777777" w:rsidR="009125B3" w:rsidRPr="00121608" w:rsidRDefault="009125B3" w:rsidP="00C41893">
            <w:pPr>
              <w:spacing w:after="0"/>
              <w:rPr>
                <w:rFonts w:cs="Arial"/>
                <w:color w:val="000000"/>
                <w:sz w:val="20"/>
              </w:rPr>
            </w:pPr>
          </w:p>
        </w:tc>
        <w:tc>
          <w:tcPr>
            <w:tcW w:w="2410" w:type="dxa"/>
            <w:tcBorders>
              <w:top w:val="nil"/>
              <w:left w:val="nil"/>
              <w:bottom w:val="single" w:sz="4" w:space="0" w:color="C0C0C0"/>
              <w:right w:val="single" w:sz="4" w:space="0" w:color="C0C0C0"/>
            </w:tcBorders>
            <w:shd w:val="clear" w:color="auto" w:fill="D9D9D9"/>
          </w:tcPr>
          <w:p w14:paraId="6A6EFC28" w14:textId="77777777" w:rsidR="009125B3" w:rsidRPr="00121608" w:rsidRDefault="009125B3" w:rsidP="00C41893">
            <w:pPr>
              <w:spacing w:after="0"/>
              <w:rPr>
                <w:rFonts w:cs="Arial"/>
                <w:color w:val="000000"/>
                <w:sz w:val="20"/>
              </w:rPr>
            </w:pPr>
          </w:p>
        </w:tc>
        <w:tc>
          <w:tcPr>
            <w:tcW w:w="751" w:type="dxa"/>
            <w:tcBorders>
              <w:top w:val="nil"/>
              <w:left w:val="nil"/>
              <w:bottom w:val="single" w:sz="4" w:space="0" w:color="C0C0C0"/>
              <w:right w:val="single" w:sz="4" w:space="0" w:color="C0C0C0"/>
            </w:tcBorders>
            <w:shd w:val="clear" w:color="auto" w:fill="D9D9D9"/>
          </w:tcPr>
          <w:p w14:paraId="3ECC7FA5" w14:textId="77777777" w:rsidR="009125B3" w:rsidRPr="00121608" w:rsidRDefault="009125B3" w:rsidP="00C41893">
            <w:pPr>
              <w:spacing w:after="0"/>
              <w:rPr>
                <w:rFonts w:cs="Arial"/>
                <w:color w:val="000000"/>
                <w:sz w:val="20"/>
              </w:rPr>
            </w:pPr>
          </w:p>
        </w:tc>
      </w:tr>
      <w:tr w:rsidR="00667537" w:rsidRPr="00121608" w14:paraId="6E5F7C1C" w14:textId="77777777" w:rsidTr="0099794B">
        <w:trPr>
          <w:cantSplit/>
          <w:trHeight w:val="255"/>
        </w:trPr>
        <w:tc>
          <w:tcPr>
            <w:tcW w:w="1005" w:type="dxa"/>
            <w:tcBorders>
              <w:top w:val="nil"/>
              <w:left w:val="single" w:sz="4" w:space="0" w:color="C0C0C0"/>
              <w:bottom w:val="single" w:sz="4" w:space="0" w:color="C0C0C0"/>
              <w:right w:val="single" w:sz="4" w:space="0" w:color="C0C0C0"/>
            </w:tcBorders>
            <w:shd w:val="clear" w:color="auto" w:fill="F2F2F2"/>
            <w:noWrap/>
            <w:vAlign w:val="bottom"/>
            <w:hideMark/>
          </w:tcPr>
          <w:p w14:paraId="14690EAB" w14:textId="77777777" w:rsidR="009125B3" w:rsidRPr="00121608" w:rsidRDefault="009125B3" w:rsidP="00C41893">
            <w:pPr>
              <w:spacing w:after="0"/>
              <w:rPr>
                <w:rFonts w:cs="Arial"/>
                <w:color w:val="000000"/>
                <w:sz w:val="20"/>
              </w:rPr>
            </w:pPr>
            <w:r w:rsidRPr="00121608">
              <w:rPr>
                <w:color w:val="000000"/>
                <w:sz w:val="20"/>
              </w:rPr>
              <w:lastRenderedPageBreak/>
              <w:t xml:space="preserve">A.6.1 </w:t>
            </w:r>
          </w:p>
        </w:tc>
        <w:tc>
          <w:tcPr>
            <w:tcW w:w="2271" w:type="dxa"/>
            <w:tcBorders>
              <w:top w:val="nil"/>
              <w:left w:val="nil"/>
              <w:bottom w:val="single" w:sz="4" w:space="0" w:color="C0C0C0"/>
              <w:right w:val="single" w:sz="4" w:space="0" w:color="C0C0C0"/>
            </w:tcBorders>
            <w:shd w:val="clear" w:color="auto" w:fill="F2F2F2"/>
            <w:noWrap/>
            <w:vAlign w:val="bottom"/>
            <w:hideMark/>
          </w:tcPr>
          <w:p w14:paraId="1D647344" w14:textId="77777777" w:rsidR="009125B3" w:rsidRPr="00121608" w:rsidRDefault="009125B3" w:rsidP="004B6700">
            <w:pPr>
              <w:spacing w:after="0"/>
              <w:rPr>
                <w:rFonts w:cs="Arial"/>
                <w:color w:val="000000"/>
                <w:sz w:val="20"/>
              </w:rPr>
            </w:pPr>
            <w:r w:rsidRPr="00121608">
              <w:rPr>
                <w:color w:val="000000"/>
                <w:sz w:val="20"/>
              </w:rPr>
              <w:t>Interne Organisation</w:t>
            </w:r>
          </w:p>
        </w:tc>
        <w:tc>
          <w:tcPr>
            <w:tcW w:w="992" w:type="dxa"/>
            <w:tcBorders>
              <w:top w:val="nil"/>
              <w:left w:val="nil"/>
              <w:bottom w:val="single" w:sz="4" w:space="0" w:color="C0C0C0"/>
              <w:right w:val="single" w:sz="4" w:space="0" w:color="C0C0C0"/>
            </w:tcBorders>
            <w:shd w:val="clear" w:color="auto" w:fill="F2F2F2"/>
          </w:tcPr>
          <w:p w14:paraId="31A6B392" w14:textId="77777777" w:rsidR="009125B3" w:rsidRPr="00121608" w:rsidRDefault="009125B3" w:rsidP="00C41893">
            <w:pPr>
              <w:spacing w:after="0"/>
              <w:rPr>
                <w:rFonts w:cs="Arial"/>
                <w:color w:val="000000"/>
                <w:sz w:val="20"/>
              </w:rPr>
            </w:pPr>
          </w:p>
        </w:tc>
        <w:tc>
          <w:tcPr>
            <w:tcW w:w="1134" w:type="dxa"/>
            <w:tcBorders>
              <w:top w:val="nil"/>
              <w:left w:val="nil"/>
              <w:bottom w:val="single" w:sz="4" w:space="0" w:color="C0C0C0"/>
              <w:right w:val="single" w:sz="4" w:space="0" w:color="C0C0C0"/>
            </w:tcBorders>
            <w:shd w:val="clear" w:color="auto" w:fill="F2F2F2"/>
          </w:tcPr>
          <w:p w14:paraId="6343C6E5" w14:textId="77777777" w:rsidR="009125B3" w:rsidRPr="00121608" w:rsidRDefault="009125B3" w:rsidP="00C41893">
            <w:pPr>
              <w:spacing w:after="0"/>
              <w:rPr>
                <w:rFonts w:cs="Arial"/>
                <w:color w:val="000000"/>
                <w:sz w:val="20"/>
              </w:rPr>
            </w:pPr>
          </w:p>
        </w:tc>
        <w:tc>
          <w:tcPr>
            <w:tcW w:w="992" w:type="dxa"/>
            <w:tcBorders>
              <w:top w:val="nil"/>
              <w:left w:val="nil"/>
              <w:bottom w:val="single" w:sz="4" w:space="0" w:color="C0C0C0"/>
              <w:right w:val="single" w:sz="4" w:space="0" w:color="C0C0C0"/>
            </w:tcBorders>
            <w:shd w:val="clear" w:color="auto" w:fill="F2F2F2"/>
          </w:tcPr>
          <w:p w14:paraId="3A323DBF" w14:textId="77777777" w:rsidR="009125B3" w:rsidRPr="00121608" w:rsidRDefault="009125B3" w:rsidP="00C41893">
            <w:pPr>
              <w:spacing w:after="0"/>
              <w:rPr>
                <w:rFonts w:cs="Arial"/>
                <w:color w:val="000000"/>
                <w:sz w:val="20"/>
              </w:rPr>
            </w:pPr>
          </w:p>
        </w:tc>
        <w:tc>
          <w:tcPr>
            <w:tcW w:w="2410" w:type="dxa"/>
            <w:tcBorders>
              <w:top w:val="nil"/>
              <w:left w:val="nil"/>
              <w:bottom w:val="single" w:sz="4" w:space="0" w:color="C0C0C0"/>
              <w:right w:val="single" w:sz="4" w:space="0" w:color="C0C0C0"/>
            </w:tcBorders>
            <w:shd w:val="clear" w:color="auto" w:fill="F2F2F2"/>
          </w:tcPr>
          <w:p w14:paraId="34779A36" w14:textId="77777777" w:rsidR="009125B3" w:rsidRPr="00121608" w:rsidRDefault="009125B3" w:rsidP="00C41893">
            <w:pPr>
              <w:spacing w:after="0"/>
              <w:rPr>
                <w:rFonts w:cs="Arial"/>
                <w:color w:val="000000"/>
                <w:sz w:val="20"/>
              </w:rPr>
            </w:pPr>
          </w:p>
        </w:tc>
        <w:tc>
          <w:tcPr>
            <w:tcW w:w="751" w:type="dxa"/>
            <w:tcBorders>
              <w:top w:val="nil"/>
              <w:left w:val="nil"/>
              <w:bottom w:val="single" w:sz="4" w:space="0" w:color="C0C0C0"/>
              <w:right w:val="single" w:sz="4" w:space="0" w:color="C0C0C0"/>
            </w:tcBorders>
            <w:shd w:val="clear" w:color="auto" w:fill="F2F2F2"/>
          </w:tcPr>
          <w:p w14:paraId="6B63CA94" w14:textId="77777777" w:rsidR="009125B3" w:rsidRPr="00121608" w:rsidRDefault="009125B3" w:rsidP="00C41893">
            <w:pPr>
              <w:spacing w:after="0"/>
              <w:rPr>
                <w:rFonts w:cs="Arial"/>
                <w:color w:val="000000"/>
                <w:sz w:val="20"/>
              </w:rPr>
            </w:pPr>
          </w:p>
        </w:tc>
      </w:tr>
      <w:tr w:rsidR="00446A36" w:rsidRPr="0034312B" w14:paraId="6B524144" w14:textId="77777777" w:rsidTr="0099794B">
        <w:trPr>
          <w:cantSplit/>
          <w:trHeight w:val="255"/>
        </w:trPr>
        <w:tc>
          <w:tcPr>
            <w:tcW w:w="1005" w:type="dxa"/>
            <w:tcBorders>
              <w:top w:val="nil"/>
              <w:left w:val="single" w:sz="4" w:space="0" w:color="C0C0C0"/>
              <w:bottom w:val="single" w:sz="4" w:space="0" w:color="C0C0C0"/>
              <w:right w:val="single" w:sz="4" w:space="0" w:color="C0C0C0"/>
            </w:tcBorders>
            <w:shd w:val="clear" w:color="auto" w:fill="auto"/>
            <w:noWrap/>
            <w:vAlign w:val="bottom"/>
            <w:hideMark/>
          </w:tcPr>
          <w:p w14:paraId="6029312F" w14:textId="77777777" w:rsidR="009125B3" w:rsidRPr="00121608" w:rsidRDefault="009125B3" w:rsidP="00C41893">
            <w:pPr>
              <w:spacing w:after="0"/>
              <w:rPr>
                <w:rFonts w:cs="Arial"/>
                <w:color w:val="000000"/>
                <w:sz w:val="20"/>
              </w:rPr>
            </w:pPr>
            <w:r w:rsidRPr="00121608">
              <w:rPr>
                <w:color w:val="000000"/>
                <w:sz w:val="20"/>
              </w:rPr>
              <w:t>A.6.1.1</w:t>
            </w:r>
          </w:p>
        </w:tc>
        <w:tc>
          <w:tcPr>
            <w:tcW w:w="2271" w:type="dxa"/>
            <w:tcBorders>
              <w:top w:val="nil"/>
              <w:left w:val="nil"/>
              <w:bottom w:val="single" w:sz="4" w:space="0" w:color="C0C0C0"/>
              <w:right w:val="single" w:sz="4" w:space="0" w:color="C0C0C0"/>
            </w:tcBorders>
            <w:shd w:val="clear" w:color="auto" w:fill="auto"/>
            <w:noWrap/>
            <w:vAlign w:val="bottom"/>
            <w:hideMark/>
          </w:tcPr>
          <w:p w14:paraId="2750D163" w14:textId="77777777" w:rsidR="00151815" w:rsidRDefault="00F872D1">
            <w:pPr>
              <w:autoSpaceDE w:val="0"/>
              <w:autoSpaceDN w:val="0"/>
              <w:adjustRightInd w:val="0"/>
              <w:spacing w:after="0" w:line="240" w:lineRule="auto"/>
              <w:rPr>
                <w:rFonts w:cs="Arial"/>
                <w:color w:val="000000"/>
                <w:sz w:val="20"/>
              </w:rPr>
            </w:pPr>
            <w:r>
              <w:rPr>
                <w:rFonts w:cs="Calibri"/>
                <w:sz w:val="20"/>
                <w:szCs w:val="20"/>
                <w:lang w:eastAsia="hr-HR"/>
              </w:rPr>
              <w:t>Rollen und Verantwortlichkeiten im Rahmen der Informationssicherheit</w:t>
            </w:r>
          </w:p>
        </w:tc>
        <w:tc>
          <w:tcPr>
            <w:tcW w:w="992" w:type="dxa"/>
            <w:tcBorders>
              <w:top w:val="nil"/>
              <w:left w:val="nil"/>
              <w:bottom w:val="single" w:sz="4" w:space="0" w:color="C0C0C0"/>
              <w:right w:val="single" w:sz="4" w:space="0" w:color="C0C0C0"/>
            </w:tcBorders>
          </w:tcPr>
          <w:p w14:paraId="627D795C" w14:textId="77777777" w:rsidR="009125B3" w:rsidRPr="00121608" w:rsidRDefault="009125B3" w:rsidP="00C41893">
            <w:pPr>
              <w:spacing w:after="0"/>
              <w:rPr>
                <w:rFonts w:cs="Arial"/>
                <w:color w:val="000000"/>
                <w:sz w:val="20"/>
              </w:rPr>
            </w:pPr>
          </w:p>
        </w:tc>
        <w:tc>
          <w:tcPr>
            <w:tcW w:w="1134" w:type="dxa"/>
            <w:tcBorders>
              <w:top w:val="nil"/>
              <w:left w:val="nil"/>
              <w:bottom w:val="single" w:sz="4" w:space="0" w:color="C0C0C0"/>
              <w:right w:val="single" w:sz="4" w:space="0" w:color="C0C0C0"/>
            </w:tcBorders>
          </w:tcPr>
          <w:p w14:paraId="02A5B9AF" w14:textId="77777777" w:rsidR="009125B3" w:rsidRPr="00121608" w:rsidRDefault="009125B3" w:rsidP="00C41893">
            <w:pPr>
              <w:spacing w:after="0"/>
              <w:rPr>
                <w:rFonts w:cs="Arial"/>
                <w:color w:val="000000"/>
                <w:sz w:val="20"/>
              </w:rPr>
            </w:pPr>
          </w:p>
        </w:tc>
        <w:tc>
          <w:tcPr>
            <w:tcW w:w="992" w:type="dxa"/>
            <w:tcBorders>
              <w:top w:val="nil"/>
              <w:left w:val="nil"/>
              <w:bottom w:val="single" w:sz="4" w:space="0" w:color="C0C0C0"/>
              <w:right w:val="single" w:sz="4" w:space="0" w:color="C0C0C0"/>
            </w:tcBorders>
          </w:tcPr>
          <w:p w14:paraId="2AD11A55" w14:textId="77777777" w:rsidR="009125B3" w:rsidRPr="00121608" w:rsidRDefault="009125B3" w:rsidP="00C41893">
            <w:pPr>
              <w:spacing w:after="0"/>
              <w:rPr>
                <w:rFonts w:cs="Arial"/>
                <w:color w:val="000000"/>
                <w:sz w:val="20"/>
              </w:rPr>
            </w:pPr>
          </w:p>
        </w:tc>
        <w:tc>
          <w:tcPr>
            <w:tcW w:w="2410" w:type="dxa"/>
            <w:tcBorders>
              <w:top w:val="nil"/>
              <w:left w:val="nil"/>
              <w:bottom w:val="single" w:sz="4" w:space="0" w:color="C0C0C0"/>
              <w:right w:val="single" w:sz="4" w:space="0" w:color="C0C0C0"/>
            </w:tcBorders>
          </w:tcPr>
          <w:p w14:paraId="32EC0BB8" w14:textId="77777777" w:rsidR="009125B3" w:rsidRPr="0034312B" w:rsidRDefault="00B003DC" w:rsidP="0034312B">
            <w:pPr>
              <w:spacing w:after="0"/>
              <w:rPr>
                <w:rFonts w:cs="Arial"/>
                <w:color w:val="000000"/>
                <w:sz w:val="20"/>
              </w:rPr>
            </w:pPr>
            <w:r w:rsidRPr="00B003DC">
              <w:rPr>
                <w:rFonts w:cs="Arial"/>
                <w:color w:val="000000"/>
                <w:sz w:val="20"/>
              </w:rPr>
              <w:t>Die Verant</w:t>
            </w:r>
            <w:r w:rsidR="0034312B">
              <w:rPr>
                <w:rFonts w:cs="Arial"/>
                <w:color w:val="000000"/>
                <w:sz w:val="20"/>
              </w:rPr>
              <w:t>-</w:t>
            </w:r>
            <w:r w:rsidRPr="00B003DC">
              <w:rPr>
                <w:rFonts w:cs="Arial"/>
                <w:color w:val="000000"/>
                <w:sz w:val="20"/>
              </w:rPr>
              <w:t>wortli</w:t>
            </w:r>
            <w:r w:rsidR="0034312B">
              <w:rPr>
                <w:rFonts w:cs="Arial"/>
                <w:color w:val="000000"/>
                <w:sz w:val="20"/>
              </w:rPr>
              <w:t>chkeiten für Informa</w:t>
            </w:r>
            <w:r w:rsidRPr="00B003DC">
              <w:rPr>
                <w:rFonts w:cs="Arial"/>
                <w:color w:val="000000"/>
                <w:sz w:val="20"/>
              </w:rPr>
              <w:t>t</w:t>
            </w:r>
            <w:r w:rsidR="0034312B">
              <w:rPr>
                <w:rFonts w:cs="Arial"/>
                <w:color w:val="000000"/>
                <w:sz w:val="20"/>
              </w:rPr>
              <w:t>i</w:t>
            </w:r>
            <w:r w:rsidRPr="00B003DC">
              <w:rPr>
                <w:rFonts w:cs="Arial"/>
                <w:color w:val="000000"/>
                <w:sz w:val="20"/>
              </w:rPr>
              <w:t>ons</w:t>
            </w:r>
            <w:r w:rsidR="0034312B">
              <w:rPr>
                <w:rFonts w:cs="Arial"/>
                <w:color w:val="000000"/>
                <w:sz w:val="20"/>
              </w:rPr>
              <w:t>-</w:t>
            </w:r>
            <w:r w:rsidRPr="00B003DC">
              <w:rPr>
                <w:rFonts w:cs="Arial"/>
                <w:color w:val="000000"/>
                <w:sz w:val="20"/>
              </w:rPr>
              <w:t>sicherheit sind in verschiedenen ISMS-Dokumenten aufgeführt.</w:t>
            </w:r>
            <w:r w:rsidR="0034312B">
              <w:rPr>
                <w:rFonts w:cs="Arial"/>
                <w:color w:val="000000"/>
                <w:sz w:val="20"/>
              </w:rPr>
              <w:t xml:space="preserve"> </w:t>
            </w:r>
            <w:r w:rsidR="0034312B" w:rsidRPr="0034312B">
              <w:rPr>
                <w:rFonts w:cs="Arial"/>
                <w:color w:val="000000"/>
                <w:sz w:val="20"/>
              </w:rPr>
              <w:t xml:space="preserve">Falls erforderlich, </w:t>
            </w:r>
            <w:r w:rsidRPr="00B003DC">
              <w:rPr>
                <w:rFonts w:cs="Arial"/>
                <w:color w:val="000000"/>
                <w:sz w:val="20"/>
              </w:rPr>
              <w:t>legt [Stellenbezeich</w:t>
            </w:r>
            <w:r w:rsidR="0034312B">
              <w:rPr>
                <w:rFonts w:cs="Arial"/>
                <w:color w:val="000000"/>
                <w:sz w:val="20"/>
              </w:rPr>
              <w:t>-</w:t>
            </w:r>
            <w:r w:rsidRPr="00B003DC">
              <w:rPr>
                <w:rFonts w:cs="Arial"/>
                <w:color w:val="000000"/>
                <w:sz w:val="20"/>
              </w:rPr>
              <w:t>nung] zusätzliche Verantwortlich</w:t>
            </w:r>
            <w:r w:rsidR="0034312B">
              <w:rPr>
                <w:rFonts w:cs="Arial"/>
                <w:color w:val="000000"/>
                <w:sz w:val="20"/>
              </w:rPr>
              <w:t>-</w:t>
            </w:r>
            <w:r w:rsidRPr="00B003DC">
              <w:rPr>
                <w:rFonts w:cs="Arial"/>
                <w:color w:val="000000"/>
                <w:sz w:val="20"/>
              </w:rPr>
              <w:t>keiten fest.</w:t>
            </w:r>
            <w:r w:rsidR="0034312B" w:rsidRPr="0034312B" w:rsidDel="0034312B">
              <w:rPr>
                <w:color w:val="000000"/>
                <w:sz w:val="20"/>
              </w:rPr>
              <w:t xml:space="preserve"> </w:t>
            </w:r>
          </w:p>
        </w:tc>
        <w:tc>
          <w:tcPr>
            <w:tcW w:w="751" w:type="dxa"/>
            <w:tcBorders>
              <w:top w:val="nil"/>
              <w:left w:val="nil"/>
              <w:bottom w:val="single" w:sz="4" w:space="0" w:color="C0C0C0"/>
              <w:right w:val="single" w:sz="4" w:space="0" w:color="C0C0C0"/>
            </w:tcBorders>
          </w:tcPr>
          <w:p w14:paraId="248A5E59" w14:textId="77777777" w:rsidR="009125B3" w:rsidRPr="0034312B" w:rsidRDefault="009125B3" w:rsidP="004E2DE5">
            <w:pPr>
              <w:spacing w:after="0"/>
              <w:rPr>
                <w:color w:val="000000"/>
                <w:sz w:val="20"/>
              </w:rPr>
            </w:pPr>
          </w:p>
        </w:tc>
      </w:tr>
      <w:tr w:rsidR="00446A36" w:rsidRPr="0034312B" w14:paraId="1CAA64A9" w14:textId="77777777" w:rsidTr="0099794B">
        <w:trPr>
          <w:cantSplit/>
          <w:trHeight w:val="255"/>
        </w:trPr>
        <w:tc>
          <w:tcPr>
            <w:tcW w:w="1005" w:type="dxa"/>
            <w:tcBorders>
              <w:top w:val="nil"/>
              <w:left w:val="single" w:sz="4" w:space="0" w:color="C0C0C0"/>
              <w:bottom w:val="single" w:sz="4" w:space="0" w:color="C0C0C0"/>
              <w:right w:val="single" w:sz="4" w:space="0" w:color="C0C0C0"/>
            </w:tcBorders>
            <w:shd w:val="clear" w:color="auto" w:fill="auto"/>
            <w:noWrap/>
            <w:vAlign w:val="bottom"/>
            <w:hideMark/>
          </w:tcPr>
          <w:p w14:paraId="4D9EABBD" w14:textId="77777777" w:rsidR="009125B3" w:rsidRPr="00121608" w:rsidRDefault="009125B3" w:rsidP="00C41893">
            <w:pPr>
              <w:spacing w:after="0"/>
              <w:rPr>
                <w:rFonts w:cs="Arial"/>
                <w:color w:val="000000"/>
                <w:sz w:val="20"/>
              </w:rPr>
            </w:pPr>
            <w:r w:rsidRPr="00121608">
              <w:rPr>
                <w:color w:val="000000"/>
                <w:sz w:val="20"/>
              </w:rPr>
              <w:t>A.6.1.2</w:t>
            </w:r>
          </w:p>
        </w:tc>
        <w:tc>
          <w:tcPr>
            <w:tcW w:w="2271" w:type="dxa"/>
            <w:tcBorders>
              <w:top w:val="nil"/>
              <w:left w:val="nil"/>
              <w:bottom w:val="single" w:sz="4" w:space="0" w:color="C0C0C0"/>
              <w:right w:val="single" w:sz="4" w:space="0" w:color="C0C0C0"/>
            </w:tcBorders>
            <w:shd w:val="clear" w:color="auto" w:fill="auto"/>
            <w:noWrap/>
            <w:vAlign w:val="bottom"/>
            <w:hideMark/>
          </w:tcPr>
          <w:p w14:paraId="5B2F4A00" w14:textId="77777777" w:rsidR="00151815" w:rsidRDefault="00F872D1">
            <w:pPr>
              <w:autoSpaceDE w:val="0"/>
              <w:autoSpaceDN w:val="0"/>
              <w:adjustRightInd w:val="0"/>
              <w:spacing w:after="0" w:line="240" w:lineRule="auto"/>
              <w:rPr>
                <w:rFonts w:cs="Calibri"/>
                <w:color w:val="000000"/>
                <w:sz w:val="20"/>
                <w:szCs w:val="20"/>
              </w:rPr>
            </w:pPr>
            <w:r>
              <w:rPr>
                <w:rFonts w:cs="Calibri"/>
                <w:sz w:val="20"/>
                <w:szCs w:val="20"/>
                <w:lang w:eastAsia="hr-HR"/>
              </w:rPr>
              <w:t>Pflichtentrennung</w:t>
            </w:r>
          </w:p>
        </w:tc>
        <w:tc>
          <w:tcPr>
            <w:tcW w:w="992" w:type="dxa"/>
            <w:tcBorders>
              <w:top w:val="nil"/>
              <w:left w:val="nil"/>
              <w:bottom w:val="single" w:sz="4" w:space="0" w:color="C0C0C0"/>
              <w:right w:val="single" w:sz="4" w:space="0" w:color="C0C0C0"/>
            </w:tcBorders>
          </w:tcPr>
          <w:p w14:paraId="4036C1C2" w14:textId="77777777" w:rsidR="009125B3" w:rsidRPr="00121608" w:rsidRDefault="009125B3" w:rsidP="00C41893">
            <w:pPr>
              <w:spacing w:after="0"/>
              <w:rPr>
                <w:rFonts w:cs="Arial"/>
                <w:color w:val="000000"/>
                <w:sz w:val="20"/>
              </w:rPr>
            </w:pPr>
          </w:p>
        </w:tc>
        <w:tc>
          <w:tcPr>
            <w:tcW w:w="1134" w:type="dxa"/>
            <w:tcBorders>
              <w:top w:val="nil"/>
              <w:left w:val="nil"/>
              <w:bottom w:val="single" w:sz="4" w:space="0" w:color="C0C0C0"/>
              <w:right w:val="single" w:sz="4" w:space="0" w:color="C0C0C0"/>
            </w:tcBorders>
          </w:tcPr>
          <w:p w14:paraId="0FB40E90" w14:textId="77777777" w:rsidR="009125B3" w:rsidRPr="00121608" w:rsidRDefault="009125B3" w:rsidP="00C41893">
            <w:pPr>
              <w:spacing w:after="0"/>
              <w:rPr>
                <w:rFonts w:cs="Arial"/>
                <w:color w:val="000000"/>
                <w:sz w:val="20"/>
              </w:rPr>
            </w:pPr>
          </w:p>
        </w:tc>
        <w:tc>
          <w:tcPr>
            <w:tcW w:w="992" w:type="dxa"/>
            <w:tcBorders>
              <w:top w:val="nil"/>
              <w:left w:val="nil"/>
              <w:bottom w:val="single" w:sz="4" w:space="0" w:color="C0C0C0"/>
              <w:right w:val="single" w:sz="4" w:space="0" w:color="C0C0C0"/>
            </w:tcBorders>
          </w:tcPr>
          <w:p w14:paraId="099F710C" w14:textId="77777777" w:rsidR="009125B3" w:rsidRPr="00121608" w:rsidRDefault="009125B3" w:rsidP="00C41893">
            <w:pPr>
              <w:spacing w:after="0"/>
              <w:rPr>
                <w:rFonts w:cs="Arial"/>
                <w:color w:val="000000"/>
                <w:sz w:val="20"/>
              </w:rPr>
            </w:pPr>
          </w:p>
        </w:tc>
        <w:tc>
          <w:tcPr>
            <w:tcW w:w="2410" w:type="dxa"/>
            <w:tcBorders>
              <w:top w:val="nil"/>
              <w:left w:val="nil"/>
              <w:bottom w:val="single" w:sz="4" w:space="0" w:color="C0C0C0"/>
              <w:right w:val="single" w:sz="4" w:space="0" w:color="C0C0C0"/>
            </w:tcBorders>
          </w:tcPr>
          <w:p w14:paraId="44C09ED1" w14:textId="77777777" w:rsidR="009125B3" w:rsidRPr="0034312B" w:rsidRDefault="00B003DC" w:rsidP="0034312B">
            <w:pPr>
              <w:spacing w:after="0"/>
              <w:rPr>
                <w:rFonts w:cs="Arial"/>
                <w:color w:val="000000"/>
                <w:sz w:val="20"/>
              </w:rPr>
            </w:pPr>
            <w:r w:rsidRPr="00B003DC">
              <w:rPr>
                <w:rFonts w:cs="Arial"/>
                <w:color w:val="000000"/>
                <w:sz w:val="20"/>
              </w:rPr>
              <w:t>Jede Tätigkeit, welche der</w:t>
            </w:r>
            <w:r w:rsidR="0034312B" w:rsidRPr="0034312B">
              <w:rPr>
                <w:rFonts w:cs="Arial"/>
                <w:color w:val="000000"/>
                <w:sz w:val="20"/>
              </w:rPr>
              <w:t xml:space="preserve"> Handhabung sensibler Informationen</w:t>
            </w:r>
            <w:r w:rsidRPr="00B003DC">
              <w:rPr>
                <w:rFonts w:cs="Arial"/>
                <w:color w:val="000000"/>
                <w:sz w:val="20"/>
              </w:rPr>
              <w:t xml:space="preserve"> bedarf, wird von einer Person gene</w:t>
            </w:r>
            <w:r w:rsidR="0034312B">
              <w:rPr>
                <w:rFonts w:cs="Arial"/>
                <w:color w:val="000000"/>
                <w:sz w:val="20"/>
              </w:rPr>
              <w:t>hmigt und von einer anderen Per</w:t>
            </w:r>
            <w:r w:rsidRPr="00B003DC">
              <w:rPr>
                <w:rFonts w:cs="Arial"/>
                <w:color w:val="000000"/>
                <w:sz w:val="20"/>
              </w:rPr>
              <w:t>s</w:t>
            </w:r>
            <w:r w:rsidR="0034312B">
              <w:rPr>
                <w:rFonts w:cs="Arial"/>
                <w:color w:val="000000"/>
                <w:sz w:val="20"/>
              </w:rPr>
              <w:t>o</w:t>
            </w:r>
            <w:r w:rsidRPr="00B003DC">
              <w:rPr>
                <w:rFonts w:cs="Arial"/>
                <w:color w:val="000000"/>
                <w:sz w:val="20"/>
              </w:rPr>
              <w:t>n ausgeführt.</w:t>
            </w:r>
            <w:r w:rsidR="0034312B" w:rsidRPr="0034312B">
              <w:rPr>
                <w:color w:val="000000"/>
                <w:sz w:val="20"/>
              </w:rPr>
              <w:t xml:space="preserve"> </w:t>
            </w:r>
          </w:p>
        </w:tc>
        <w:tc>
          <w:tcPr>
            <w:tcW w:w="751" w:type="dxa"/>
            <w:tcBorders>
              <w:top w:val="nil"/>
              <w:left w:val="nil"/>
              <w:bottom w:val="single" w:sz="4" w:space="0" w:color="C0C0C0"/>
              <w:right w:val="single" w:sz="4" w:space="0" w:color="C0C0C0"/>
            </w:tcBorders>
          </w:tcPr>
          <w:p w14:paraId="2C99A061" w14:textId="77777777" w:rsidR="009125B3" w:rsidRPr="0034312B" w:rsidRDefault="009125B3" w:rsidP="00526FBE">
            <w:pPr>
              <w:spacing w:after="0"/>
              <w:rPr>
                <w:color w:val="000000"/>
                <w:sz w:val="20"/>
              </w:rPr>
            </w:pPr>
          </w:p>
        </w:tc>
      </w:tr>
      <w:tr w:rsidR="00446A36" w:rsidRPr="000A30E9" w14:paraId="2E8281F5" w14:textId="77777777" w:rsidTr="0099794B">
        <w:trPr>
          <w:cantSplit/>
          <w:trHeight w:val="255"/>
        </w:trPr>
        <w:tc>
          <w:tcPr>
            <w:tcW w:w="1005" w:type="dxa"/>
            <w:tcBorders>
              <w:top w:val="nil"/>
              <w:left w:val="single" w:sz="4" w:space="0" w:color="C0C0C0"/>
              <w:bottom w:val="single" w:sz="4" w:space="0" w:color="C0C0C0"/>
              <w:right w:val="single" w:sz="4" w:space="0" w:color="C0C0C0"/>
            </w:tcBorders>
            <w:shd w:val="clear" w:color="auto" w:fill="auto"/>
            <w:noWrap/>
            <w:vAlign w:val="bottom"/>
            <w:hideMark/>
          </w:tcPr>
          <w:p w14:paraId="4FE45C71" w14:textId="77777777" w:rsidR="009125B3" w:rsidRPr="00121608" w:rsidRDefault="009125B3" w:rsidP="00C41893">
            <w:pPr>
              <w:spacing w:after="0"/>
              <w:rPr>
                <w:rFonts w:cs="Arial"/>
                <w:color w:val="000000"/>
                <w:sz w:val="20"/>
              </w:rPr>
            </w:pPr>
            <w:r w:rsidRPr="00121608">
              <w:rPr>
                <w:color w:val="000000"/>
                <w:sz w:val="20"/>
              </w:rPr>
              <w:t>A.6.1.3</w:t>
            </w:r>
          </w:p>
        </w:tc>
        <w:tc>
          <w:tcPr>
            <w:tcW w:w="2271" w:type="dxa"/>
            <w:tcBorders>
              <w:top w:val="nil"/>
              <w:left w:val="nil"/>
              <w:bottom w:val="single" w:sz="4" w:space="0" w:color="C0C0C0"/>
              <w:right w:val="single" w:sz="4" w:space="0" w:color="C0C0C0"/>
            </w:tcBorders>
            <w:shd w:val="clear" w:color="auto" w:fill="auto"/>
            <w:noWrap/>
            <w:vAlign w:val="bottom"/>
            <w:hideMark/>
          </w:tcPr>
          <w:p w14:paraId="06BB4BF9" w14:textId="77777777" w:rsidR="00151815" w:rsidRDefault="00F872D1">
            <w:pPr>
              <w:autoSpaceDE w:val="0"/>
              <w:autoSpaceDN w:val="0"/>
              <w:adjustRightInd w:val="0"/>
              <w:spacing w:after="0" w:line="240" w:lineRule="auto"/>
              <w:rPr>
                <w:rFonts w:cs="Calibri"/>
                <w:color w:val="000000"/>
                <w:sz w:val="20"/>
                <w:szCs w:val="20"/>
              </w:rPr>
            </w:pPr>
            <w:r>
              <w:rPr>
                <w:rFonts w:cs="Calibri"/>
                <w:sz w:val="20"/>
                <w:szCs w:val="20"/>
                <w:lang w:eastAsia="hr-HR"/>
              </w:rPr>
              <w:t>Kontakthaltung mit Behörden</w:t>
            </w:r>
          </w:p>
        </w:tc>
        <w:tc>
          <w:tcPr>
            <w:tcW w:w="992" w:type="dxa"/>
            <w:tcBorders>
              <w:top w:val="nil"/>
              <w:left w:val="nil"/>
              <w:bottom w:val="single" w:sz="4" w:space="0" w:color="C0C0C0"/>
              <w:right w:val="single" w:sz="4" w:space="0" w:color="C0C0C0"/>
            </w:tcBorders>
          </w:tcPr>
          <w:p w14:paraId="5A5E38AB" w14:textId="77777777" w:rsidR="009125B3" w:rsidRPr="00121608" w:rsidRDefault="009125B3" w:rsidP="00C41893">
            <w:pPr>
              <w:spacing w:after="0"/>
              <w:rPr>
                <w:rFonts w:cs="Arial"/>
                <w:color w:val="000000"/>
                <w:sz w:val="20"/>
              </w:rPr>
            </w:pPr>
          </w:p>
        </w:tc>
        <w:tc>
          <w:tcPr>
            <w:tcW w:w="1134" w:type="dxa"/>
            <w:tcBorders>
              <w:top w:val="nil"/>
              <w:left w:val="nil"/>
              <w:bottom w:val="single" w:sz="4" w:space="0" w:color="C0C0C0"/>
              <w:right w:val="single" w:sz="4" w:space="0" w:color="C0C0C0"/>
            </w:tcBorders>
          </w:tcPr>
          <w:p w14:paraId="6BB0CE36" w14:textId="77777777" w:rsidR="009125B3" w:rsidRPr="00121608" w:rsidRDefault="009125B3" w:rsidP="00C41893">
            <w:pPr>
              <w:spacing w:after="0"/>
              <w:rPr>
                <w:rFonts w:cs="Arial"/>
                <w:color w:val="000000"/>
                <w:sz w:val="20"/>
              </w:rPr>
            </w:pPr>
          </w:p>
        </w:tc>
        <w:tc>
          <w:tcPr>
            <w:tcW w:w="992" w:type="dxa"/>
            <w:tcBorders>
              <w:top w:val="nil"/>
              <w:left w:val="nil"/>
              <w:bottom w:val="single" w:sz="4" w:space="0" w:color="C0C0C0"/>
              <w:right w:val="single" w:sz="4" w:space="0" w:color="C0C0C0"/>
            </w:tcBorders>
          </w:tcPr>
          <w:p w14:paraId="78E3E281" w14:textId="77777777" w:rsidR="009125B3" w:rsidRPr="00121608" w:rsidRDefault="009125B3" w:rsidP="00C41893">
            <w:pPr>
              <w:spacing w:after="0"/>
              <w:rPr>
                <w:rFonts w:cs="Arial"/>
                <w:color w:val="000000"/>
                <w:sz w:val="20"/>
              </w:rPr>
            </w:pPr>
          </w:p>
        </w:tc>
        <w:tc>
          <w:tcPr>
            <w:tcW w:w="2410" w:type="dxa"/>
            <w:tcBorders>
              <w:top w:val="nil"/>
              <w:left w:val="nil"/>
              <w:bottom w:val="single" w:sz="4" w:space="0" w:color="C0C0C0"/>
              <w:right w:val="single" w:sz="4" w:space="0" w:color="C0C0C0"/>
            </w:tcBorders>
          </w:tcPr>
          <w:p w14:paraId="5975567D" w14:textId="47822D2C" w:rsidR="009125B3" w:rsidRPr="000A30E9" w:rsidRDefault="00B1610A" w:rsidP="000A30E9">
            <w:pPr>
              <w:spacing w:after="0"/>
              <w:rPr>
                <w:rFonts w:cs="Arial"/>
                <w:color w:val="000000"/>
                <w:sz w:val="20"/>
              </w:rPr>
            </w:pPr>
            <w:r w:rsidRPr="00B1610A">
              <w:rPr>
                <w:color w:val="000000"/>
                <w:sz w:val="20"/>
              </w:rPr>
              <w:t>[</w:t>
            </w:r>
            <w:r>
              <w:rPr>
                <w:color w:val="000000"/>
                <w:sz w:val="20"/>
              </w:rPr>
              <w:t>Stellen</w:t>
            </w:r>
            <w:r w:rsidRPr="00B1610A">
              <w:rPr>
                <w:color w:val="000000"/>
                <w:sz w:val="20"/>
              </w:rPr>
              <w:t>bezeichnung] ist dafür verantwortlich, die Polizei und [andere relevante Behörden angeben]</w:t>
            </w:r>
            <w:r>
              <w:rPr>
                <w:color w:val="000000"/>
                <w:sz w:val="20"/>
              </w:rPr>
              <w:t xml:space="preserve"> zu benachrichtigen </w:t>
            </w:r>
          </w:p>
        </w:tc>
        <w:tc>
          <w:tcPr>
            <w:tcW w:w="751" w:type="dxa"/>
            <w:tcBorders>
              <w:top w:val="nil"/>
              <w:left w:val="nil"/>
              <w:bottom w:val="single" w:sz="4" w:space="0" w:color="C0C0C0"/>
              <w:right w:val="single" w:sz="4" w:space="0" w:color="C0C0C0"/>
            </w:tcBorders>
          </w:tcPr>
          <w:p w14:paraId="0583DB58" w14:textId="77777777" w:rsidR="009125B3" w:rsidRPr="000A30E9" w:rsidRDefault="009125B3" w:rsidP="008C7678">
            <w:pPr>
              <w:spacing w:after="0"/>
              <w:rPr>
                <w:color w:val="000000"/>
                <w:sz w:val="20"/>
              </w:rPr>
            </w:pPr>
          </w:p>
        </w:tc>
      </w:tr>
    </w:tbl>
    <w:p w14:paraId="08EE6833" w14:textId="77777777" w:rsidR="00C41893" w:rsidRDefault="00C41893" w:rsidP="00C41893">
      <w:pPr>
        <w:spacing w:after="0"/>
      </w:pPr>
    </w:p>
    <w:p w14:paraId="1F8E0EE8" w14:textId="77777777" w:rsidR="009351F3" w:rsidRDefault="009351F3" w:rsidP="00C41893">
      <w:pPr>
        <w:spacing w:after="0"/>
      </w:pPr>
    </w:p>
    <w:p w14:paraId="27DEA1B1" w14:textId="77777777" w:rsidR="009351F3" w:rsidRDefault="009351F3" w:rsidP="00C41893">
      <w:pPr>
        <w:spacing w:after="0"/>
      </w:pPr>
    </w:p>
    <w:p w14:paraId="3E3A59DE" w14:textId="77777777" w:rsidR="009351F3" w:rsidRPr="00482E03" w:rsidRDefault="009351F3" w:rsidP="009351F3">
      <w:pPr>
        <w:spacing w:after="0"/>
        <w:jc w:val="center"/>
      </w:pPr>
      <w:r w:rsidRPr="00482E03">
        <w:t>** ENDE DER KOSTENLOSEN VORSCHAU **</w:t>
      </w:r>
    </w:p>
    <w:p w14:paraId="5F9661A7" w14:textId="77777777" w:rsidR="009351F3" w:rsidRPr="00482E03" w:rsidRDefault="009351F3" w:rsidP="009351F3">
      <w:pPr>
        <w:spacing w:after="0"/>
        <w:jc w:val="center"/>
      </w:pPr>
    </w:p>
    <w:p w14:paraId="22EDBAC0" w14:textId="71BD27F1" w:rsidR="009351F3" w:rsidRPr="00823832" w:rsidRDefault="009351F3" w:rsidP="009351F3">
      <w:pPr>
        <w:spacing w:after="0"/>
        <w:jc w:val="center"/>
      </w:pPr>
      <w:r w:rsidRPr="00482E03">
        <w:t>Um dieses Dokument vollständig herunterzuladen, klicken Sie bitte hier:</w:t>
      </w:r>
      <w:r w:rsidRPr="00482E03">
        <w:br/>
      </w:r>
      <w:hyperlink r:id="rId10" w:history="1">
        <w:r w:rsidRPr="00AB6F45">
          <w:rPr>
            <w:rStyle w:val="Hyperlink"/>
            <w:lang w:val="de-DE"/>
          </w:rPr>
          <w:t>https://advisera.com/27001academy/de/documentation/erklaerung-zur-anwendbarkeit/</w:t>
        </w:r>
      </w:hyperlink>
      <w:r>
        <w:t xml:space="preserve"> </w:t>
      </w:r>
      <w:bookmarkStart w:id="20" w:name="_GoBack"/>
      <w:bookmarkEnd w:id="20"/>
    </w:p>
    <w:p w14:paraId="3D200EFF" w14:textId="77777777" w:rsidR="00C41893" w:rsidRPr="00823832" w:rsidRDefault="00C41893" w:rsidP="00C41893"/>
    <w:p w14:paraId="71B8704A" w14:textId="1DFA8CC1" w:rsidR="00C41893" w:rsidRDefault="00C41893" w:rsidP="009351F3">
      <w:pPr>
        <w:pStyle w:val="Heading1"/>
        <w:numPr>
          <w:ilvl w:val="0"/>
          <w:numId w:val="0"/>
        </w:numPr>
        <w:spacing w:line="240" w:lineRule="auto"/>
      </w:pPr>
    </w:p>
    <w:p w14:paraId="2FF68661" w14:textId="77777777" w:rsidR="009351F3" w:rsidRPr="009351F3" w:rsidRDefault="009351F3" w:rsidP="009351F3"/>
    <w:sectPr w:rsidR="009351F3" w:rsidRPr="009351F3" w:rsidSect="00C41893">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29T21:27:00Z" w:initials="EU GDPR">
    <w:p w14:paraId="70063EE1" w14:textId="77777777" w:rsidR="008C598A" w:rsidRPr="00AD382C" w:rsidRDefault="008C598A" w:rsidP="008C598A">
      <w:pPr>
        <w:pStyle w:val="CommentText"/>
        <w:rPr>
          <w:rFonts w:eastAsia="Times New Roman"/>
        </w:rPr>
      </w:pPr>
      <w:r>
        <w:rPr>
          <w:rStyle w:val="CommentReference"/>
        </w:rPr>
        <w:annotationRef/>
      </w:r>
      <w:r>
        <w:rPr>
          <w:rStyle w:val="CommentReference"/>
        </w:rPr>
        <w:annotationRef/>
      </w:r>
      <w:r w:rsidRPr="00AD382C">
        <w:rPr>
          <w:rFonts w:eastAsia="Times New Roman"/>
        </w:rPr>
        <w:t xml:space="preserve">Um zu erlernen, wie Sie dieses Dokument ausfüllen und echte Beispiele darüber zu sehen, was Sie schreiben müssen, schauen Sie sich dieses Video-Tutorial an: </w:t>
      </w:r>
    </w:p>
    <w:p w14:paraId="3AA723CB" w14:textId="77777777" w:rsidR="008C598A" w:rsidRPr="00AD382C" w:rsidRDefault="008C598A" w:rsidP="008C598A">
      <w:pPr>
        <w:pStyle w:val="CommentText"/>
        <w:rPr>
          <w:strike/>
          <w:lang w:val="en-US"/>
        </w:rPr>
      </w:pPr>
      <w:r w:rsidRPr="00AD382C">
        <w:rPr>
          <w:rFonts w:eastAsia="Times New Roman"/>
          <w:lang w:val="en-US"/>
        </w:rPr>
        <w:t>“</w:t>
      </w:r>
      <w:r w:rsidRPr="00ED7EAC">
        <w:rPr>
          <w:lang w:val="en-US"/>
        </w:rPr>
        <w:t>How to Write ISO 2</w:t>
      </w:r>
      <w:r>
        <w:rPr>
          <w:lang w:val="en-US"/>
        </w:rPr>
        <w:t>7001 Statement of Applicability</w:t>
      </w:r>
      <w:r w:rsidRPr="00AD382C">
        <w:rPr>
          <w:rFonts w:eastAsia="Times New Roman"/>
          <w:lang w:val="en-US"/>
        </w:rPr>
        <w:t>”.</w:t>
      </w:r>
    </w:p>
    <w:p w14:paraId="3914E582" w14:textId="77777777" w:rsidR="008C598A" w:rsidRPr="00AD382C" w:rsidRDefault="008C598A" w:rsidP="008C598A">
      <w:pPr>
        <w:rPr>
          <w:rFonts w:eastAsia="Times New Roman"/>
          <w:sz w:val="20"/>
          <w:szCs w:val="20"/>
          <w:lang w:val="en-US"/>
        </w:rPr>
      </w:pPr>
    </w:p>
    <w:p w14:paraId="71B57FFE" w14:textId="77777777" w:rsidR="008C598A" w:rsidRPr="00AD382C" w:rsidRDefault="008C598A" w:rsidP="008C598A">
      <w:pPr>
        <w:rPr>
          <w:rFonts w:eastAsia="Times New Roman"/>
          <w:sz w:val="20"/>
          <w:szCs w:val="20"/>
        </w:rPr>
      </w:pPr>
      <w:r w:rsidRPr="00AD382C">
        <w:rPr>
          <w:rFonts w:eastAsia="Times New Roman"/>
          <w:sz w:val="20"/>
          <w:szCs w:val="20"/>
        </w:rPr>
        <w:t>Um auf das Tutorial zuzugreifen, wählen Sie eine der folgenden Optionen (je nachdem, wie Sie das Dokument erhalten haben):</w:t>
      </w:r>
    </w:p>
    <w:p w14:paraId="5AFC3652" w14:textId="77777777" w:rsidR="008C598A" w:rsidRDefault="008C598A" w:rsidP="008C598A">
      <w:pPr>
        <w:numPr>
          <w:ilvl w:val="0"/>
          <w:numId w:val="9"/>
        </w:numPr>
        <w:rPr>
          <w:rFonts w:eastAsia="Times New Roman"/>
          <w:sz w:val="20"/>
          <w:szCs w:val="20"/>
        </w:rPr>
      </w:pPr>
      <w:r w:rsidRPr="00AD382C">
        <w:rPr>
          <w:rFonts w:eastAsia="Times New Roman"/>
          <w:sz w:val="20"/>
          <w:szCs w:val="20"/>
        </w:rPr>
        <w:t xml:space="preserve"> Für Dokumente, die über Conformio versendet werden: Melden Sie sich in Conformio an, klicken Sie im oberen Menü auf "Repository", wählen Sie Ihre Sprache und öffnen Sie den Ordner "Video Tutorials".</w:t>
      </w:r>
    </w:p>
    <w:p w14:paraId="5859C758" w14:textId="0AEE5785" w:rsidR="008C598A" w:rsidRPr="008C598A" w:rsidRDefault="008C598A" w:rsidP="008C598A">
      <w:pPr>
        <w:numPr>
          <w:ilvl w:val="0"/>
          <w:numId w:val="9"/>
        </w:numPr>
        <w:rPr>
          <w:rFonts w:eastAsia="Times New Roman"/>
          <w:sz w:val="20"/>
          <w:szCs w:val="20"/>
        </w:rPr>
      </w:pPr>
      <w:r w:rsidRPr="00AD382C">
        <w:rPr>
          <w:rFonts w:eastAsia="Times New Roman"/>
        </w:rPr>
        <w:t xml:space="preserve"> Für Dokumente, die per E-Mail versendet werden: Finden Sie die E-Mail in Ihrem Posteingang, die Sie zum Zeitpunkt des Kaufs erhalten haben - dort sehen Sie einen Link, der es Ihnen ermöglicht, auf das Video-Tutorial zuzugreifen.</w:t>
      </w:r>
      <w:r w:rsidRPr="00AD382C">
        <w:rPr>
          <w:sz w:val="16"/>
          <w:szCs w:val="16"/>
          <w:lang w:val="en-US"/>
        </w:rPr>
        <w:annotationRef/>
      </w:r>
      <w:r w:rsidRPr="00AD382C">
        <w:rPr>
          <w:rFonts w:eastAsia="Times New Roman"/>
          <w:color w:val="FF0000"/>
        </w:rPr>
        <w:t xml:space="preserve"> </w:t>
      </w:r>
      <w:r w:rsidRPr="00AD382C">
        <w:rPr>
          <w:sz w:val="16"/>
          <w:szCs w:val="16"/>
        </w:rPr>
        <w:annotationRef/>
      </w:r>
      <w:r w:rsidRPr="00AD382C">
        <w:rPr>
          <w:rFonts w:eastAsia="Times New Roman"/>
        </w:rPr>
        <w:t xml:space="preserve"> </w:t>
      </w:r>
    </w:p>
  </w:comment>
  <w:comment w:id="1" w:author="EUGDPRAcademy" w:date="2018-01-29T21:27:00Z" w:initials="EU GDPR">
    <w:p w14:paraId="4D0A01F6" w14:textId="65D97D7D" w:rsidR="008C598A" w:rsidRDefault="008C598A">
      <w:pPr>
        <w:pStyle w:val="CommentText"/>
      </w:pPr>
      <w:r>
        <w:rPr>
          <w:rStyle w:val="CommentReference"/>
        </w:rPr>
        <w:annotationRef/>
      </w:r>
      <w:r>
        <w:rPr>
          <w:rStyle w:val="CommentReference"/>
        </w:rPr>
        <w:annotationRef/>
      </w:r>
      <w:r>
        <w:rPr>
          <w:rStyle w:val="CommentReference"/>
        </w:rPr>
        <w:annotationRef/>
      </w:r>
      <w:r w:rsidRPr="00436A0A">
        <w:t xml:space="preserve">Alle mit eckigen Klammern [ ] </w:t>
      </w:r>
      <w:r>
        <w:t>markierte Felder in diesem Dokument müssen ausgefüllt werden</w:t>
      </w:r>
      <w:r w:rsidRPr="00486657">
        <w:t>.</w:t>
      </w:r>
    </w:p>
  </w:comment>
  <w:comment w:id="2" w:author="EUGDPRAcademy" w:date="2018-01-29T21:27:00Z" w:initials="EU GDPR">
    <w:p w14:paraId="2A1CEB00" w14:textId="77777777" w:rsidR="008C598A" w:rsidRDefault="008C598A" w:rsidP="008C598A">
      <w:pPr>
        <w:pStyle w:val="CommentText"/>
        <w:rPr>
          <w:color w:val="000000" w:themeColor="text1"/>
        </w:rPr>
      </w:pPr>
      <w:r>
        <w:rPr>
          <w:rStyle w:val="CommentReference"/>
        </w:rPr>
        <w:annotationRef/>
      </w:r>
      <w:r>
        <w:rPr>
          <w:rStyle w:val="CommentReference"/>
        </w:rPr>
        <w:annotationRef/>
      </w:r>
      <w:r>
        <w:rPr>
          <w:rStyle w:val="CommentReference"/>
        </w:rPr>
        <w:annotationRef/>
      </w:r>
      <w:r w:rsidRPr="00137BB5">
        <w:rPr>
          <w:color w:val="000000" w:themeColor="text1"/>
        </w:rPr>
        <w:t xml:space="preserve">Für eine Anleitung wie die Erklärung zur Anwendbarkeit zu schreiben ist, lesen Sie diesen Artikel: </w:t>
      </w:r>
    </w:p>
    <w:p w14:paraId="32701613" w14:textId="77777777" w:rsidR="008C598A" w:rsidRDefault="008C598A" w:rsidP="008C598A">
      <w:pPr>
        <w:pStyle w:val="CommentText"/>
        <w:rPr>
          <w:color w:val="000000" w:themeColor="text1"/>
        </w:rPr>
      </w:pPr>
    </w:p>
    <w:p w14:paraId="110B9DCA" w14:textId="77777777" w:rsidR="008C598A" w:rsidRPr="00ED7EAC" w:rsidRDefault="008C598A" w:rsidP="008C598A">
      <w:pPr>
        <w:pStyle w:val="CommentText"/>
        <w:rPr>
          <w:color w:val="000000" w:themeColor="text1"/>
        </w:rPr>
      </w:pPr>
      <w:r w:rsidRPr="00ED7EAC">
        <w:rPr>
          <w:color w:val="000000" w:themeColor="text1"/>
        </w:rPr>
        <w:t>Die Bedeutung der Erklärung zur Anwendbarkeit für ISO 27001</w:t>
      </w:r>
    </w:p>
    <w:p w14:paraId="0C103D6A" w14:textId="71A9F1B7" w:rsidR="008C598A" w:rsidRPr="008C598A" w:rsidRDefault="008C598A">
      <w:pPr>
        <w:pStyle w:val="CommentText"/>
        <w:rPr>
          <w:color w:val="000000" w:themeColor="text1"/>
        </w:rPr>
      </w:pPr>
      <w:hyperlink r:id="rId1" w:history="1">
        <w:r w:rsidRPr="00D75B4D">
          <w:rPr>
            <w:rStyle w:val="Hyperlink"/>
            <w:lang w:val="de-DE"/>
          </w:rPr>
          <w:t>https://advisera.com/27001academy/de/knowledgebase/die-bedeutung-der-erklarung-zur-anwendbarkeit-fur-iso-27001/</w:t>
        </w:r>
      </w:hyperlink>
      <w:r>
        <w:rPr>
          <w:color w:val="000000" w:themeColor="text1"/>
        </w:rPr>
        <w:t xml:space="preserve"> </w:t>
      </w:r>
    </w:p>
  </w:comment>
  <w:comment w:id="3" w:author="EUGDPRAcademy" w:date="2018-01-29T21:27:00Z" w:initials="EU GDPR">
    <w:p w14:paraId="3771912D" w14:textId="77224029" w:rsidR="008C598A" w:rsidRDefault="008C598A">
      <w:pPr>
        <w:pStyle w:val="CommentText"/>
      </w:pPr>
      <w:r>
        <w:rPr>
          <w:rStyle w:val="CommentReference"/>
        </w:rPr>
        <w:annotationRef/>
      </w:r>
      <w:r>
        <w:rPr>
          <w:rStyle w:val="CommentReference"/>
        </w:rPr>
        <w:annotationRef/>
      </w:r>
      <w:r>
        <w:rPr>
          <w:rStyle w:val="CommentReference"/>
        </w:rPr>
        <w:annotationRef/>
      </w:r>
      <w:r w:rsidRPr="00436A0A">
        <w:t xml:space="preserve">Die Systematik für die Kodierung von Dokumenten sollte dem in der Organisation vorhandenen System zur Dokumentations-Kodierung entsprechen. </w:t>
      </w:r>
      <w:r>
        <w:t>Falls kein solches System vorhanden ist, kann diese Zeile gelöscht werden</w:t>
      </w:r>
      <w:r w:rsidRPr="00486657">
        <w:t>.</w:t>
      </w:r>
    </w:p>
  </w:comment>
  <w:comment w:id="14" w:author="EUGDPRAcademy" w:date="2018-01-29T21:16:00Z" w:initials="EU GDPR">
    <w:p w14:paraId="3B2FFF9A" w14:textId="2A80FB29" w:rsidR="00FA5255" w:rsidRPr="00FA5255" w:rsidRDefault="00FA5255" w:rsidP="00FA5255">
      <w:pPr>
        <w:pStyle w:val="CommentText"/>
      </w:pPr>
      <w:r>
        <w:rPr>
          <w:rStyle w:val="CommentReference"/>
        </w:rPr>
        <w:annotationRef/>
      </w:r>
      <w:r w:rsidRPr="00FA5255">
        <w:rPr>
          <w:rStyle w:val="CommentReference"/>
        </w:rPr>
        <w:annotationRef/>
      </w:r>
      <w:r w:rsidRPr="00FA5255">
        <w:rPr>
          <w:rStyle w:val="CommentReference"/>
        </w:rPr>
        <w:t>Weitere Informationen zu ISO-27001-Anhang-A-</w:t>
      </w:r>
      <w:r>
        <w:rPr>
          <w:rStyle w:val="CommentReference"/>
        </w:rPr>
        <w:t>Ma</w:t>
      </w:r>
      <w:r>
        <w:rPr>
          <w:rStyle w:val="CommentReference"/>
          <w:lang w:val="de-DE"/>
        </w:rPr>
        <w:t>ßnahmen</w:t>
      </w:r>
      <w:r w:rsidRPr="00FA5255">
        <w:rPr>
          <w:rStyle w:val="CommentReference"/>
        </w:rPr>
        <w:t xml:space="preserve"> finden Sie in diesem Buch:</w:t>
      </w:r>
    </w:p>
    <w:p w14:paraId="3B6D9A60" w14:textId="77777777" w:rsidR="00FA5255" w:rsidRPr="00A91281" w:rsidRDefault="00FA5255" w:rsidP="00FA5255">
      <w:pPr>
        <w:pStyle w:val="CommentText"/>
      </w:pPr>
    </w:p>
    <w:p w14:paraId="6F8751D6" w14:textId="78EB91B1" w:rsidR="00FA5255" w:rsidRPr="00FA5255" w:rsidRDefault="00FA5255">
      <w:pPr>
        <w:pStyle w:val="CommentText"/>
        <w:rPr>
          <w:lang w:val="en-US"/>
        </w:rPr>
      </w:pPr>
      <w:r w:rsidRPr="00A91281">
        <w:t xml:space="preserve">ISO 27001 Annex A Controls in Plain English </w:t>
      </w:r>
      <w:hyperlink r:id="rId2" w:history="1">
        <w:r w:rsidRPr="00BE4375">
          <w:rPr>
            <w:rStyle w:val="Hyperlink"/>
          </w:rPr>
          <w:t>https://advisera.com/books/iso-27001-annex-controls-plain-english/</w:t>
        </w:r>
      </w:hyperlink>
    </w:p>
  </w:comment>
  <w:comment w:id="15" w:author="EUGDPRAcademy" w:date="2018-01-29T21:28:00Z" w:initials="EU GDPR">
    <w:p w14:paraId="571D64CE" w14:textId="26606CE6" w:rsidR="008C598A" w:rsidRDefault="008C598A">
      <w:pPr>
        <w:pStyle w:val="CommentText"/>
      </w:pPr>
      <w:r>
        <w:rPr>
          <w:rStyle w:val="CommentReference"/>
        </w:rPr>
        <w:annotationRef/>
      </w:r>
      <w:r>
        <w:rPr>
          <w:rStyle w:val="CommentReference"/>
        </w:rPr>
        <w:annotationRef/>
      </w:r>
      <w:r w:rsidRPr="00CA29A4">
        <w:t xml:space="preserve">Basierend auf den Ergebnissen der Risikoeinschätzung, der vertraglichen </w:t>
      </w:r>
      <w:r>
        <w:t>und rechtlichen Verpflichtungen.</w:t>
      </w:r>
    </w:p>
  </w:comment>
  <w:comment w:id="16" w:author="EUGDPRAcademy" w:date="2018-01-29T21:17:00Z" w:initials="EU GDPR">
    <w:p w14:paraId="2CB4F21B" w14:textId="196EB77E" w:rsidR="00FA5255" w:rsidRPr="00A91281" w:rsidRDefault="00FA5255" w:rsidP="00FA5255">
      <w:pPr>
        <w:pStyle w:val="CommentText"/>
      </w:pPr>
      <w:r>
        <w:rPr>
          <w:rStyle w:val="CommentReference"/>
        </w:rPr>
        <w:annotationRef/>
      </w:r>
      <w:r>
        <w:t>Um mehr über Maßnahmen</w:t>
      </w:r>
      <w:r w:rsidRPr="00FA5255">
        <w:t>ziele zu erfahren, lesen Sie diesen Artikel:</w:t>
      </w:r>
      <w:r w:rsidRPr="00A91281">
        <w:t xml:space="preserve"> </w:t>
      </w:r>
    </w:p>
    <w:p w14:paraId="34B8C828" w14:textId="77777777" w:rsidR="00FA5255" w:rsidRPr="00A91281" w:rsidRDefault="00FA5255" w:rsidP="00FA5255">
      <w:pPr>
        <w:pStyle w:val="CommentText"/>
      </w:pPr>
    </w:p>
    <w:p w14:paraId="1F90FFE5" w14:textId="2FE371E9" w:rsidR="00FA5255" w:rsidRDefault="00FA5255" w:rsidP="00FA5255">
      <w:pPr>
        <w:pStyle w:val="CommentText"/>
      </w:pPr>
      <w:r w:rsidRPr="00A91281">
        <w:t>ISO 27001 control objectives – Why are they important?</w:t>
      </w:r>
      <w:r w:rsidRPr="00DB5E3B">
        <w:t xml:space="preserve"> </w:t>
      </w:r>
      <w:hyperlink r:id="rId3" w:history="1">
        <w:r w:rsidRPr="00BE4375">
          <w:rPr>
            <w:rStyle w:val="Hyperlink"/>
          </w:rPr>
          <w:t>https://advisera.com/27001academy/blog/2012/04/10/iso-27001-control-objectives-why-are-they-important/</w:t>
        </w:r>
      </w:hyperlink>
    </w:p>
  </w:comment>
  <w:comment w:id="17" w:author="EUGDPRAcademy" w:date="2018-01-29T21:27:00Z" w:initials="EU GDPR">
    <w:p w14:paraId="543DB570" w14:textId="77777777" w:rsidR="008C598A" w:rsidRPr="00505237" w:rsidRDefault="008C598A" w:rsidP="008C598A">
      <w:pPr>
        <w:pStyle w:val="CommentText"/>
      </w:pPr>
      <w:r>
        <w:rPr>
          <w:rStyle w:val="CommentReference"/>
        </w:rPr>
        <w:annotationRef/>
      </w:r>
      <w:r>
        <w:rPr>
          <w:rStyle w:val="CommentReference"/>
        </w:rPr>
        <w:annotationRef/>
      </w:r>
      <w:r w:rsidRPr="00505237">
        <w:t>Sie sollten für jede Maßnahme definiert werden und nach Möglichkeit auch messbar sein. Es ist allerdings auch möglich, die Maßnahmenziele zu kopieren, die in den Kapiteln der Abschnitte des Anhang A gelistet sind.</w:t>
      </w:r>
    </w:p>
    <w:p w14:paraId="5E66743C" w14:textId="77777777" w:rsidR="008C598A" w:rsidRPr="00505237" w:rsidRDefault="008C598A" w:rsidP="008C598A">
      <w:pPr>
        <w:pStyle w:val="CommentText"/>
      </w:pPr>
    </w:p>
    <w:p w14:paraId="42B7CCA5" w14:textId="7FC29A7C" w:rsidR="008C598A" w:rsidRDefault="008C598A">
      <w:pPr>
        <w:pStyle w:val="CommentText"/>
      </w:pPr>
      <w:r w:rsidRPr="00505237">
        <w:t>Leer lassen, wenn die Maßnahme als nicht anwendbar markiert ist.</w:t>
      </w:r>
    </w:p>
  </w:comment>
  <w:comment w:id="18" w:author="EUGDPRAcademy" w:date="2018-01-29T21:28:00Z" w:initials="EU GDPR">
    <w:p w14:paraId="18EE8C58" w14:textId="77777777" w:rsidR="008C598A" w:rsidRPr="00505237" w:rsidRDefault="008C598A" w:rsidP="008C598A">
      <w:pPr>
        <w:pStyle w:val="CommentText"/>
      </w:pPr>
      <w:r>
        <w:rPr>
          <w:rStyle w:val="CommentReference"/>
        </w:rPr>
        <w:annotationRef/>
      </w:r>
      <w:r>
        <w:rPr>
          <w:rStyle w:val="CommentReference"/>
        </w:rPr>
        <w:annotationRef/>
      </w:r>
      <w:r w:rsidRPr="00505237">
        <w:t>Umsetzungs-Methode – hier das Dokument, die technische Maßnahme dazu angeben oder den Prozess beschreiben. Frei lassen, falls die Maßnahme als nicht anwendbar markiert ist.</w:t>
      </w:r>
    </w:p>
    <w:p w14:paraId="128ACF8F" w14:textId="77777777" w:rsidR="008C598A" w:rsidRPr="00505237" w:rsidRDefault="008C598A" w:rsidP="008C598A">
      <w:pPr>
        <w:pStyle w:val="CommentText"/>
      </w:pPr>
    </w:p>
    <w:p w14:paraId="72494E47" w14:textId="77777777" w:rsidR="008C598A" w:rsidRPr="00505237" w:rsidRDefault="008C598A" w:rsidP="008C598A">
      <w:pPr>
        <w:pStyle w:val="CommentText"/>
      </w:pPr>
      <w:r w:rsidRPr="00505237">
        <w:t>In der Tabelle werden Dokumente aus diesem Dokumentationspaket aufgelistet, die für die jeweilige Maßnahme ausschlaggebend sind; falls keine der Dokumente für die Maßnahme relevant sind, wird der Prozess beschrieben.</w:t>
      </w:r>
    </w:p>
    <w:p w14:paraId="014CF5E1" w14:textId="77777777" w:rsidR="008C598A" w:rsidRPr="00505237" w:rsidRDefault="008C598A" w:rsidP="008C598A">
      <w:pPr>
        <w:pStyle w:val="CommentText"/>
      </w:pPr>
    </w:p>
    <w:p w14:paraId="0081646D" w14:textId="77777777" w:rsidR="008C598A" w:rsidRPr="00505237" w:rsidRDefault="008C598A" w:rsidP="008C598A">
      <w:pPr>
        <w:pStyle w:val="CommentText"/>
      </w:pPr>
      <w:r w:rsidRPr="00505237">
        <w:t>Wenn zwei Dokumente durch einen Schrägstrich “/” voneinander abgesetzt sind, müssen Sie entweder das erste oder das zweite Dokument wählen. Befindet sich ein Komma „,“ zwischen zwei Dokumenten, so sollten für die entsprechende Maßnahme beide Dokumente implementiert werden.</w:t>
      </w:r>
    </w:p>
    <w:p w14:paraId="7EF6591A" w14:textId="77777777" w:rsidR="008C598A" w:rsidRPr="00505237" w:rsidRDefault="008C598A" w:rsidP="008C598A">
      <w:pPr>
        <w:pStyle w:val="CommentText"/>
      </w:pPr>
    </w:p>
    <w:p w14:paraId="61C3E822" w14:textId="654CE0C5" w:rsidR="008C598A" w:rsidRDefault="008C598A">
      <w:pPr>
        <w:pStyle w:val="CommentText"/>
      </w:pPr>
      <w:r w:rsidRPr="00505237">
        <w:t>In dem Dokument “Liste der Dokumente” sind alle in dem Paket enthaltenen Dokumente aufgelistet, zusammen mit einer Anmerkung, ob das je</w:t>
      </w:r>
      <w:r>
        <w:t xml:space="preserve">weilige Dokument gemäß Norm </w:t>
      </w:r>
      <w:r w:rsidRPr="00505237">
        <w:t>obligatorisch ist oder nicht.</w:t>
      </w:r>
    </w:p>
  </w:comment>
  <w:comment w:id="19" w:author="EUGDPRAcademy" w:date="2018-01-29T21:28:00Z" w:initials="EU GDPR">
    <w:p w14:paraId="4DA64D80" w14:textId="77777777" w:rsidR="008C598A" w:rsidRPr="009125B3" w:rsidRDefault="008C598A" w:rsidP="008C598A">
      <w:pPr>
        <w:pStyle w:val="CommentText"/>
      </w:pPr>
      <w:r>
        <w:rPr>
          <w:rStyle w:val="CommentReference"/>
        </w:rPr>
        <w:annotationRef/>
      </w:r>
      <w:r>
        <w:rPr>
          <w:rStyle w:val="CommentReference"/>
        </w:rPr>
        <w:annotationRef/>
      </w:r>
      <w:r w:rsidRPr="009125B3">
        <w:t xml:space="preserve">Hier den Umsetzungsstatus einfüllen, z.B. “geplant”, “teilweise umgesetzt”, “vollständig umgesetzt”. </w:t>
      </w:r>
    </w:p>
    <w:p w14:paraId="7FF8151E" w14:textId="77777777" w:rsidR="008C598A" w:rsidRPr="009125B3" w:rsidRDefault="008C598A" w:rsidP="008C598A">
      <w:pPr>
        <w:pStyle w:val="CommentText"/>
      </w:pPr>
    </w:p>
    <w:p w14:paraId="5AE81424" w14:textId="54110877" w:rsidR="008C598A" w:rsidRDefault="008C598A">
      <w:pPr>
        <w:pStyle w:val="CommentText"/>
      </w:pPr>
      <w:r w:rsidRPr="009125B3">
        <w:t>Leer lassen, wenn die entsprechende Maßnahme als nicht anwendbar markiert ist.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59C758" w15:done="0"/>
  <w15:commentEx w15:paraId="4D0A01F6" w15:done="0"/>
  <w15:commentEx w15:paraId="0C103D6A" w15:done="0"/>
  <w15:commentEx w15:paraId="3771912D" w15:done="0"/>
  <w15:commentEx w15:paraId="6F8751D6" w15:done="0"/>
  <w15:commentEx w15:paraId="571D64CE" w15:done="0"/>
  <w15:commentEx w15:paraId="1F90FFE5" w15:done="0"/>
  <w15:commentEx w15:paraId="42B7CCA5" w15:done="0"/>
  <w15:commentEx w15:paraId="61C3E822" w15:done="0"/>
  <w15:commentEx w15:paraId="5AE8142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6FA9B9" w16cid:durableId="1E12EE54"/>
  <w16cid:commentId w16cid:paraId="4644E0CA" w16cid:durableId="1E12EE55"/>
  <w16cid:commentId w16cid:paraId="051C7133" w16cid:durableId="1E12EE56"/>
  <w16cid:commentId w16cid:paraId="61F1ABF9" w16cid:durableId="1E12EE57"/>
  <w16cid:commentId w16cid:paraId="4EDAD1E4" w16cid:durableId="1E12EE58"/>
  <w16cid:commentId w16cid:paraId="2A84FA97" w16cid:durableId="1E12EE59"/>
  <w16cid:commentId w16cid:paraId="7CB398CE" w16cid:durableId="1E12EE5A"/>
  <w16cid:commentId w16cid:paraId="242236A2" w16cid:durableId="1E12EE5C"/>
  <w16cid:commentId w16cid:paraId="1166C34D" w16cid:durableId="1E12EE5D"/>
  <w16cid:commentId w16cid:paraId="63DA680A" w16cid:durableId="1E12EE5E"/>
  <w16cid:commentId w16cid:paraId="0E711425" w16cid:durableId="1E12EE5F"/>
  <w16cid:commentId w16cid:paraId="315890AC" w16cid:durableId="1E12EE60"/>
  <w16cid:commentId w16cid:paraId="55E39EC7" w16cid:durableId="1E12EE61"/>
  <w16cid:commentId w16cid:paraId="02BBFAC8" w16cid:durableId="1E12EE62"/>
  <w16cid:commentId w16cid:paraId="3591EBDA" w16cid:durableId="1E12EE63"/>
  <w16cid:commentId w16cid:paraId="0B639A3B" w16cid:durableId="1E12EE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E59B68" w14:textId="77777777" w:rsidR="00A478C3" w:rsidRDefault="00A478C3" w:rsidP="00C41893">
      <w:pPr>
        <w:spacing w:after="0" w:line="240" w:lineRule="auto"/>
      </w:pPr>
      <w:r>
        <w:separator/>
      </w:r>
    </w:p>
  </w:endnote>
  <w:endnote w:type="continuationSeparator" w:id="0">
    <w:p w14:paraId="7DFEE78D" w14:textId="77777777" w:rsidR="00A478C3" w:rsidRDefault="00A478C3" w:rsidP="00C41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FA5255" w:rsidRPr="006571EC" w14:paraId="19BB1D5C" w14:textId="77777777" w:rsidTr="00365F9F">
      <w:tc>
        <w:tcPr>
          <w:tcW w:w="3652" w:type="dxa"/>
        </w:tcPr>
        <w:p w14:paraId="01EFC348" w14:textId="77777777" w:rsidR="00FA5255" w:rsidRPr="00C931AC" w:rsidRDefault="00FA5255" w:rsidP="00C41893">
          <w:pPr>
            <w:pStyle w:val="Footer"/>
            <w:rPr>
              <w:sz w:val="18"/>
              <w:szCs w:val="18"/>
            </w:rPr>
          </w:pPr>
          <w:r>
            <w:rPr>
              <w:sz w:val="18"/>
            </w:rPr>
            <w:t>Erklärung zur Anwendbarkeit</w:t>
          </w:r>
        </w:p>
      </w:tc>
      <w:tc>
        <w:tcPr>
          <w:tcW w:w="2126" w:type="dxa"/>
        </w:tcPr>
        <w:p w14:paraId="66233FE0" w14:textId="77777777" w:rsidR="00FA5255" w:rsidRPr="00C931AC" w:rsidRDefault="00FA5255" w:rsidP="00C41893">
          <w:pPr>
            <w:pStyle w:val="Footer"/>
            <w:jc w:val="center"/>
            <w:rPr>
              <w:sz w:val="18"/>
              <w:szCs w:val="18"/>
            </w:rPr>
          </w:pPr>
          <w:r>
            <w:rPr>
              <w:sz w:val="18"/>
            </w:rPr>
            <w:t>Ver. [Version] vom [Datum]</w:t>
          </w:r>
        </w:p>
      </w:tc>
      <w:tc>
        <w:tcPr>
          <w:tcW w:w="3544" w:type="dxa"/>
        </w:tcPr>
        <w:p w14:paraId="71566059" w14:textId="63DE3FEC" w:rsidR="00FA5255" w:rsidRPr="00C931AC" w:rsidRDefault="00FA5255" w:rsidP="00C41893">
          <w:pPr>
            <w:pStyle w:val="Footer"/>
            <w:jc w:val="right"/>
            <w:rPr>
              <w:b/>
              <w:sz w:val="18"/>
              <w:szCs w:val="18"/>
            </w:rPr>
          </w:pPr>
          <w:r>
            <w:rPr>
              <w:sz w:val="18"/>
            </w:rPr>
            <w:t xml:space="preserve">Seite </w:t>
          </w:r>
          <w:r>
            <w:rPr>
              <w:b/>
              <w:sz w:val="18"/>
            </w:rPr>
            <w:fldChar w:fldCharType="begin"/>
          </w:r>
          <w:r>
            <w:rPr>
              <w:b/>
              <w:sz w:val="18"/>
            </w:rPr>
            <w:instrText xml:space="preserve"> PAGE </w:instrText>
          </w:r>
          <w:r>
            <w:rPr>
              <w:b/>
              <w:sz w:val="18"/>
            </w:rPr>
            <w:fldChar w:fldCharType="separate"/>
          </w:r>
          <w:r w:rsidR="009351F3">
            <w:rPr>
              <w:b/>
              <w:noProof/>
              <w:sz w:val="18"/>
            </w:rPr>
            <w:t>4</w:t>
          </w:r>
          <w:r>
            <w:rPr>
              <w:b/>
              <w:sz w:val="18"/>
            </w:rPr>
            <w:fldChar w:fldCharType="end"/>
          </w:r>
          <w:r>
            <w:rPr>
              <w:sz w:val="18"/>
            </w:rPr>
            <w:t xml:space="preserve"> von </w:t>
          </w:r>
          <w:r>
            <w:rPr>
              <w:b/>
              <w:sz w:val="18"/>
            </w:rPr>
            <w:fldChar w:fldCharType="begin"/>
          </w:r>
          <w:r>
            <w:rPr>
              <w:b/>
              <w:sz w:val="18"/>
            </w:rPr>
            <w:instrText xml:space="preserve"> NUMPAGES  </w:instrText>
          </w:r>
          <w:r>
            <w:rPr>
              <w:b/>
              <w:sz w:val="18"/>
            </w:rPr>
            <w:fldChar w:fldCharType="separate"/>
          </w:r>
          <w:r w:rsidR="009351F3">
            <w:rPr>
              <w:b/>
              <w:noProof/>
              <w:sz w:val="18"/>
            </w:rPr>
            <w:t>4</w:t>
          </w:r>
          <w:r>
            <w:rPr>
              <w:b/>
              <w:sz w:val="18"/>
            </w:rPr>
            <w:fldChar w:fldCharType="end"/>
          </w:r>
        </w:p>
      </w:tc>
    </w:tr>
  </w:tbl>
  <w:p w14:paraId="3A6222F8" w14:textId="77777777" w:rsidR="00FA5255" w:rsidRPr="00E878F7" w:rsidRDefault="00FA5255" w:rsidP="00DD4BB3">
    <w:pPr>
      <w:autoSpaceDE w:val="0"/>
      <w:autoSpaceDN w:val="0"/>
      <w:adjustRightInd w:val="0"/>
      <w:spacing w:after="0"/>
      <w:jc w:val="center"/>
      <w:rPr>
        <w:sz w:val="16"/>
        <w:szCs w:val="16"/>
      </w:rPr>
    </w:pPr>
    <w:r w:rsidRPr="00DD4BB3">
      <w:rPr>
        <w:sz w:val="16"/>
      </w:rPr>
      <w:t>©2017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87A0A" w14:textId="77777777" w:rsidR="00FA5255" w:rsidRPr="00DD4BB3" w:rsidRDefault="00FA5255" w:rsidP="00DD4BB3">
    <w:pPr>
      <w:pStyle w:val="Footer"/>
      <w:jc w:val="center"/>
    </w:pPr>
    <w:r w:rsidRPr="00DD4BB3">
      <w:rPr>
        <w:sz w:val="16"/>
      </w:rPr>
      <w:t>©2017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59BD51" w14:textId="77777777" w:rsidR="00A478C3" w:rsidRDefault="00A478C3" w:rsidP="00C41893">
      <w:pPr>
        <w:spacing w:after="0" w:line="240" w:lineRule="auto"/>
      </w:pPr>
      <w:r>
        <w:separator/>
      </w:r>
    </w:p>
  </w:footnote>
  <w:footnote w:type="continuationSeparator" w:id="0">
    <w:p w14:paraId="1A3678BA" w14:textId="77777777" w:rsidR="00A478C3" w:rsidRDefault="00A478C3" w:rsidP="00C418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FA5255" w:rsidRPr="006571EC" w14:paraId="51CAAAD3" w14:textId="77777777" w:rsidTr="00C41893">
      <w:tc>
        <w:tcPr>
          <w:tcW w:w="6771" w:type="dxa"/>
        </w:tcPr>
        <w:p w14:paraId="1D39EC78" w14:textId="77777777" w:rsidR="00FA5255" w:rsidRPr="00C931AC" w:rsidRDefault="00FA5255" w:rsidP="00E878F7">
          <w:pPr>
            <w:pStyle w:val="Header"/>
            <w:spacing w:after="0"/>
            <w:rPr>
              <w:sz w:val="20"/>
              <w:szCs w:val="20"/>
            </w:rPr>
          </w:pPr>
          <w:r>
            <w:rPr>
              <w:sz w:val="20"/>
            </w:rPr>
            <w:t>[Name der Organisation]</w:t>
          </w:r>
        </w:p>
      </w:tc>
      <w:tc>
        <w:tcPr>
          <w:tcW w:w="2517" w:type="dxa"/>
        </w:tcPr>
        <w:p w14:paraId="52318BBD" w14:textId="77777777" w:rsidR="00FA5255" w:rsidRPr="00C931AC" w:rsidRDefault="00FA5255" w:rsidP="00E878F7">
          <w:pPr>
            <w:pStyle w:val="Header"/>
            <w:spacing w:after="0"/>
            <w:jc w:val="right"/>
            <w:rPr>
              <w:sz w:val="20"/>
              <w:szCs w:val="20"/>
            </w:rPr>
          </w:pPr>
          <w:r>
            <w:rPr>
              <w:sz w:val="20"/>
            </w:rPr>
            <w:t>[Vertraulichkeitsstufe]</w:t>
          </w:r>
        </w:p>
      </w:tc>
    </w:tr>
  </w:tbl>
  <w:p w14:paraId="67084055" w14:textId="77777777" w:rsidR="00FA5255" w:rsidRPr="003056B2" w:rsidRDefault="00FA5255" w:rsidP="00C41893">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1CE5243"/>
    <w:multiLevelType w:val="hybridMultilevel"/>
    <w:tmpl w:val="18B66EA6"/>
    <w:lvl w:ilvl="0" w:tplc="CB1EC988">
      <w:start w:val="1"/>
      <w:numFmt w:val="bullet"/>
      <w:lvlText w:val="-"/>
      <w:lvlJc w:val="left"/>
      <w:pPr>
        <w:ind w:left="720" w:hanging="360"/>
      </w:pPr>
      <w:rPr>
        <w:rFonts w:ascii="Calibri" w:eastAsia="Calibri" w:hAnsi="Calibri" w:cs="Times New Roman" w:hint="default"/>
      </w:rPr>
    </w:lvl>
    <w:lvl w:ilvl="1" w:tplc="01A2DB32" w:tentative="1">
      <w:start w:val="1"/>
      <w:numFmt w:val="bullet"/>
      <w:lvlText w:val="o"/>
      <w:lvlJc w:val="left"/>
      <w:pPr>
        <w:ind w:left="1440" w:hanging="360"/>
      </w:pPr>
      <w:rPr>
        <w:rFonts w:ascii="Courier New" w:hAnsi="Courier New" w:cs="Courier New" w:hint="default"/>
      </w:rPr>
    </w:lvl>
    <w:lvl w:ilvl="2" w:tplc="A71A3E1E" w:tentative="1">
      <w:start w:val="1"/>
      <w:numFmt w:val="bullet"/>
      <w:lvlText w:val=""/>
      <w:lvlJc w:val="left"/>
      <w:pPr>
        <w:ind w:left="2160" w:hanging="360"/>
      </w:pPr>
      <w:rPr>
        <w:rFonts w:ascii="Wingdings" w:hAnsi="Wingdings" w:hint="default"/>
      </w:rPr>
    </w:lvl>
    <w:lvl w:ilvl="3" w:tplc="98DE1D9C" w:tentative="1">
      <w:start w:val="1"/>
      <w:numFmt w:val="bullet"/>
      <w:lvlText w:val=""/>
      <w:lvlJc w:val="left"/>
      <w:pPr>
        <w:ind w:left="2880" w:hanging="360"/>
      </w:pPr>
      <w:rPr>
        <w:rFonts w:ascii="Symbol" w:hAnsi="Symbol" w:hint="default"/>
      </w:rPr>
    </w:lvl>
    <w:lvl w:ilvl="4" w:tplc="32F8D836" w:tentative="1">
      <w:start w:val="1"/>
      <w:numFmt w:val="bullet"/>
      <w:lvlText w:val="o"/>
      <w:lvlJc w:val="left"/>
      <w:pPr>
        <w:ind w:left="3600" w:hanging="360"/>
      </w:pPr>
      <w:rPr>
        <w:rFonts w:ascii="Courier New" w:hAnsi="Courier New" w:cs="Courier New" w:hint="default"/>
      </w:rPr>
    </w:lvl>
    <w:lvl w:ilvl="5" w:tplc="4914E9D2" w:tentative="1">
      <w:start w:val="1"/>
      <w:numFmt w:val="bullet"/>
      <w:lvlText w:val=""/>
      <w:lvlJc w:val="left"/>
      <w:pPr>
        <w:ind w:left="4320" w:hanging="360"/>
      </w:pPr>
      <w:rPr>
        <w:rFonts w:ascii="Wingdings" w:hAnsi="Wingdings" w:hint="default"/>
      </w:rPr>
    </w:lvl>
    <w:lvl w:ilvl="6" w:tplc="A2CAD29C" w:tentative="1">
      <w:start w:val="1"/>
      <w:numFmt w:val="bullet"/>
      <w:lvlText w:val=""/>
      <w:lvlJc w:val="left"/>
      <w:pPr>
        <w:ind w:left="5040" w:hanging="360"/>
      </w:pPr>
      <w:rPr>
        <w:rFonts w:ascii="Symbol" w:hAnsi="Symbol" w:hint="default"/>
      </w:rPr>
    </w:lvl>
    <w:lvl w:ilvl="7" w:tplc="5E0668F8" w:tentative="1">
      <w:start w:val="1"/>
      <w:numFmt w:val="bullet"/>
      <w:lvlText w:val="o"/>
      <w:lvlJc w:val="left"/>
      <w:pPr>
        <w:ind w:left="5760" w:hanging="360"/>
      </w:pPr>
      <w:rPr>
        <w:rFonts w:ascii="Courier New" w:hAnsi="Courier New" w:cs="Courier New" w:hint="default"/>
      </w:rPr>
    </w:lvl>
    <w:lvl w:ilvl="8" w:tplc="4B880B60" w:tentative="1">
      <w:start w:val="1"/>
      <w:numFmt w:val="bullet"/>
      <w:lvlText w:val=""/>
      <w:lvlJc w:val="left"/>
      <w:pPr>
        <w:ind w:left="6480" w:hanging="360"/>
      </w:pPr>
      <w:rPr>
        <w:rFonts w:ascii="Wingdings" w:hAnsi="Wingdings" w:hint="default"/>
      </w:rPr>
    </w:lvl>
  </w:abstractNum>
  <w:abstractNum w:abstractNumId="2">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3">
    <w:nsid w:val="1E962594"/>
    <w:multiLevelType w:val="hybridMultilevel"/>
    <w:tmpl w:val="BE3A2C34"/>
    <w:lvl w:ilvl="0" w:tplc="A5120DBC">
      <w:start w:val="1"/>
      <w:numFmt w:val="decimal"/>
      <w:lvlText w:val="%1."/>
      <w:lvlJc w:val="left"/>
      <w:pPr>
        <w:ind w:left="1080" w:hanging="360"/>
      </w:pPr>
      <w:rPr>
        <w:rFonts w:ascii="Calibri" w:eastAsia="Calibri" w:hAnsi="Calibri" w:cs="Times New Roman"/>
      </w:rPr>
    </w:lvl>
    <w:lvl w:ilvl="1" w:tplc="62A48614">
      <w:start w:val="1"/>
      <w:numFmt w:val="lowerLetter"/>
      <w:lvlText w:val="%2."/>
      <w:lvlJc w:val="left"/>
      <w:pPr>
        <w:ind w:left="1800" w:hanging="360"/>
      </w:pPr>
    </w:lvl>
    <w:lvl w:ilvl="2" w:tplc="2F24D2AE">
      <w:start w:val="1"/>
      <w:numFmt w:val="lowerRoman"/>
      <w:lvlText w:val="%3."/>
      <w:lvlJc w:val="right"/>
      <w:pPr>
        <w:ind w:left="2520" w:hanging="180"/>
      </w:pPr>
    </w:lvl>
    <w:lvl w:ilvl="3" w:tplc="0F10506C" w:tentative="1">
      <w:start w:val="1"/>
      <w:numFmt w:val="decimal"/>
      <w:lvlText w:val="%4."/>
      <w:lvlJc w:val="left"/>
      <w:pPr>
        <w:ind w:left="3240" w:hanging="360"/>
      </w:pPr>
    </w:lvl>
    <w:lvl w:ilvl="4" w:tplc="91FAB00E" w:tentative="1">
      <w:start w:val="1"/>
      <w:numFmt w:val="lowerLetter"/>
      <w:lvlText w:val="%5."/>
      <w:lvlJc w:val="left"/>
      <w:pPr>
        <w:ind w:left="3960" w:hanging="360"/>
      </w:pPr>
    </w:lvl>
    <w:lvl w:ilvl="5" w:tplc="8640DE60" w:tentative="1">
      <w:start w:val="1"/>
      <w:numFmt w:val="lowerRoman"/>
      <w:lvlText w:val="%6."/>
      <w:lvlJc w:val="right"/>
      <w:pPr>
        <w:ind w:left="4680" w:hanging="180"/>
      </w:pPr>
    </w:lvl>
    <w:lvl w:ilvl="6" w:tplc="9D7AB716" w:tentative="1">
      <w:start w:val="1"/>
      <w:numFmt w:val="decimal"/>
      <w:lvlText w:val="%7."/>
      <w:lvlJc w:val="left"/>
      <w:pPr>
        <w:ind w:left="5400" w:hanging="360"/>
      </w:pPr>
    </w:lvl>
    <w:lvl w:ilvl="7" w:tplc="556EE5C6" w:tentative="1">
      <w:start w:val="1"/>
      <w:numFmt w:val="lowerLetter"/>
      <w:lvlText w:val="%8."/>
      <w:lvlJc w:val="left"/>
      <w:pPr>
        <w:ind w:left="6120" w:hanging="360"/>
      </w:pPr>
    </w:lvl>
    <w:lvl w:ilvl="8" w:tplc="769EFBD0" w:tentative="1">
      <w:start w:val="1"/>
      <w:numFmt w:val="lowerRoman"/>
      <w:lvlText w:val="%9."/>
      <w:lvlJc w:val="right"/>
      <w:pPr>
        <w:ind w:left="6840" w:hanging="180"/>
      </w:pPr>
    </w:lvl>
  </w:abstractNum>
  <w:abstractNum w:abstractNumId="4">
    <w:nsid w:val="32B04F65"/>
    <w:multiLevelType w:val="hybridMultilevel"/>
    <w:tmpl w:val="4092792C"/>
    <w:lvl w:ilvl="0" w:tplc="EE804E9E">
      <w:start w:val="1"/>
      <w:numFmt w:val="bullet"/>
      <w:lvlText w:val=""/>
      <w:lvlJc w:val="left"/>
      <w:pPr>
        <w:ind w:left="720" w:hanging="360"/>
      </w:pPr>
      <w:rPr>
        <w:rFonts w:ascii="Symbol" w:hAnsi="Symbol" w:hint="default"/>
      </w:rPr>
    </w:lvl>
    <w:lvl w:ilvl="1" w:tplc="7D302B6C" w:tentative="1">
      <w:start w:val="1"/>
      <w:numFmt w:val="bullet"/>
      <w:lvlText w:val="o"/>
      <w:lvlJc w:val="left"/>
      <w:pPr>
        <w:ind w:left="1440" w:hanging="360"/>
      </w:pPr>
      <w:rPr>
        <w:rFonts w:ascii="Courier New" w:hAnsi="Courier New" w:cs="Courier New" w:hint="default"/>
      </w:rPr>
    </w:lvl>
    <w:lvl w:ilvl="2" w:tplc="41524BE0" w:tentative="1">
      <w:start w:val="1"/>
      <w:numFmt w:val="bullet"/>
      <w:lvlText w:val=""/>
      <w:lvlJc w:val="left"/>
      <w:pPr>
        <w:ind w:left="2160" w:hanging="360"/>
      </w:pPr>
      <w:rPr>
        <w:rFonts w:ascii="Wingdings" w:hAnsi="Wingdings" w:hint="default"/>
      </w:rPr>
    </w:lvl>
    <w:lvl w:ilvl="3" w:tplc="27F65938" w:tentative="1">
      <w:start w:val="1"/>
      <w:numFmt w:val="bullet"/>
      <w:lvlText w:val=""/>
      <w:lvlJc w:val="left"/>
      <w:pPr>
        <w:ind w:left="2880" w:hanging="360"/>
      </w:pPr>
      <w:rPr>
        <w:rFonts w:ascii="Symbol" w:hAnsi="Symbol" w:hint="default"/>
      </w:rPr>
    </w:lvl>
    <w:lvl w:ilvl="4" w:tplc="474A7454" w:tentative="1">
      <w:start w:val="1"/>
      <w:numFmt w:val="bullet"/>
      <w:lvlText w:val="o"/>
      <w:lvlJc w:val="left"/>
      <w:pPr>
        <w:ind w:left="3600" w:hanging="360"/>
      </w:pPr>
      <w:rPr>
        <w:rFonts w:ascii="Courier New" w:hAnsi="Courier New" w:cs="Courier New" w:hint="default"/>
      </w:rPr>
    </w:lvl>
    <w:lvl w:ilvl="5" w:tplc="390CF830" w:tentative="1">
      <w:start w:val="1"/>
      <w:numFmt w:val="bullet"/>
      <w:lvlText w:val=""/>
      <w:lvlJc w:val="left"/>
      <w:pPr>
        <w:ind w:left="4320" w:hanging="360"/>
      </w:pPr>
      <w:rPr>
        <w:rFonts w:ascii="Wingdings" w:hAnsi="Wingdings" w:hint="default"/>
      </w:rPr>
    </w:lvl>
    <w:lvl w:ilvl="6" w:tplc="0246A15E" w:tentative="1">
      <w:start w:val="1"/>
      <w:numFmt w:val="bullet"/>
      <w:lvlText w:val=""/>
      <w:lvlJc w:val="left"/>
      <w:pPr>
        <w:ind w:left="5040" w:hanging="360"/>
      </w:pPr>
      <w:rPr>
        <w:rFonts w:ascii="Symbol" w:hAnsi="Symbol" w:hint="default"/>
      </w:rPr>
    </w:lvl>
    <w:lvl w:ilvl="7" w:tplc="FA74B906" w:tentative="1">
      <w:start w:val="1"/>
      <w:numFmt w:val="bullet"/>
      <w:lvlText w:val="o"/>
      <w:lvlJc w:val="left"/>
      <w:pPr>
        <w:ind w:left="5760" w:hanging="360"/>
      </w:pPr>
      <w:rPr>
        <w:rFonts w:ascii="Courier New" w:hAnsi="Courier New" w:cs="Courier New" w:hint="default"/>
      </w:rPr>
    </w:lvl>
    <w:lvl w:ilvl="8" w:tplc="D312D340" w:tentative="1">
      <w:start w:val="1"/>
      <w:numFmt w:val="bullet"/>
      <w:lvlText w:val=""/>
      <w:lvlJc w:val="left"/>
      <w:pPr>
        <w:ind w:left="6480" w:hanging="360"/>
      </w:pPr>
      <w:rPr>
        <w:rFonts w:ascii="Wingdings" w:hAnsi="Wingdings" w:hint="default"/>
      </w:rPr>
    </w:lvl>
  </w:abstractNum>
  <w:abstractNum w:abstractNumId="5">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6">
    <w:nsid w:val="4DA85C07"/>
    <w:multiLevelType w:val="hybridMultilevel"/>
    <w:tmpl w:val="6DD2760C"/>
    <w:lvl w:ilvl="0" w:tplc="1C2294F6">
      <w:start w:val="1"/>
      <w:numFmt w:val="bullet"/>
      <w:lvlText w:val=""/>
      <w:lvlJc w:val="left"/>
      <w:pPr>
        <w:ind w:left="720" w:hanging="360"/>
      </w:pPr>
      <w:rPr>
        <w:rFonts w:ascii="Symbol" w:hAnsi="Symbol" w:hint="default"/>
      </w:rPr>
    </w:lvl>
    <w:lvl w:ilvl="1" w:tplc="326E0D20" w:tentative="1">
      <w:start w:val="1"/>
      <w:numFmt w:val="bullet"/>
      <w:lvlText w:val="o"/>
      <w:lvlJc w:val="left"/>
      <w:pPr>
        <w:ind w:left="1440" w:hanging="360"/>
      </w:pPr>
      <w:rPr>
        <w:rFonts w:ascii="Courier New" w:hAnsi="Courier New" w:cs="Courier New" w:hint="default"/>
      </w:rPr>
    </w:lvl>
    <w:lvl w:ilvl="2" w:tplc="CD92E1B6" w:tentative="1">
      <w:start w:val="1"/>
      <w:numFmt w:val="bullet"/>
      <w:lvlText w:val=""/>
      <w:lvlJc w:val="left"/>
      <w:pPr>
        <w:ind w:left="2160" w:hanging="360"/>
      </w:pPr>
      <w:rPr>
        <w:rFonts w:ascii="Wingdings" w:hAnsi="Wingdings" w:hint="default"/>
      </w:rPr>
    </w:lvl>
    <w:lvl w:ilvl="3" w:tplc="80582132" w:tentative="1">
      <w:start w:val="1"/>
      <w:numFmt w:val="bullet"/>
      <w:lvlText w:val=""/>
      <w:lvlJc w:val="left"/>
      <w:pPr>
        <w:ind w:left="2880" w:hanging="360"/>
      </w:pPr>
      <w:rPr>
        <w:rFonts w:ascii="Symbol" w:hAnsi="Symbol" w:hint="default"/>
      </w:rPr>
    </w:lvl>
    <w:lvl w:ilvl="4" w:tplc="F04C3238" w:tentative="1">
      <w:start w:val="1"/>
      <w:numFmt w:val="bullet"/>
      <w:lvlText w:val="o"/>
      <w:lvlJc w:val="left"/>
      <w:pPr>
        <w:ind w:left="3600" w:hanging="360"/>
      </w:pPr>
      <w:rPr>
        <w:rFonts w:ascii="Courier New" w:hAnsi="Courier New" w:cs="Courier New" w:hint="default"/>
      </w:rPr>
    </w:lvl>
    <w:lvl w:ilvl="5" w:tplc="15827108" w:tentative="1">
      <w:start w:val="1"/>
      <w:numFmt w:val="bullet"/>
      <w:lvlText w:val=""/>
      <w:lvlJc w:val="left"/>
      <w:pPr>
        <w:ind w:left="4320" w:hanging="360"/>
      </w:pPr>
      <w:rPr>
        <w:rFonts w:ascii="Wingdings" w:hAnsi="Wingdings" w:hint="default"/>
      </w:rPr>
    </w:lvl>
    <w:lvl w:ilvl="6" w:tplc="AF2257AE" w:tentative="1">
      <w:start w:val="1"/>
      <w:numFmt w:val="bullet"/>
      <w:lvlText w:val=""/>
      <w:lvlJc w:val="left"/>
      <w:pPr>
        <w:ind w:left="5040" w:hanging="360"/>
      </w:pPr>
      <w:rPr>
        <w:rFonts w:ascii="Symbol" w:hAnsi="Symbol" w:hint="default"/>
      </w:rPr>
    </w:lvl>
    <w:lvl w:ilvl="7" w:tplc="2F26266C" w:tentative="1">
      <w:start w:val="1"/>
      <w:numFmt w:val="bullet"/>
      <w:lvlText w:val="o"/>
      <w:lvlJc w:val="left"/>
      <w:pPr>
        <w:ind w:left="5760" w:hanging="360"/>
      </w:pPr>
      <w:rPr>
        <w:rFonts w:ascii="Courier New" w:hAnsi="Courier New" w:cs="Courier New" w:hint="default"/>
      </w:rPr>
    </w:lvl>
    <w:lvl w:ilvl="8" w:tplc="5F6E6AEA" w:tentative="1">
      <w:start w:val="1"/>
      <w:numFmt w:val="bullet"/>
      <w:lvlText w:val=""/>
      <w:lvlJc w:val="left"/>
      <w:pPr>
        <w:ind w:left="6480" w:hanging="360"/>
      </w:pPr>
      <w:rPr>
        <w:rFonts w:ascii="Wingdings" w:hAnsi="Wingdings" w:hint="default"/>
      </w:rPr>
    </w:lvl>
  </w:abstractNum>
  <w:abstractNum w:abstractNumId="7">
    <w:nsid w:val="505A54B0"/>
    <w:multiLevelType w:val="hybridMultilevel"/>
    <w:tmpl w:val="7B3AE084"/>
    <w:lvl w:ilvl="0" w:tplc="EEFCC4E4">
      <w:start w:val="1"/>
      <w:numFmt w:val="bullet"/>
      <w:lvlText w:val=""/>
      <w:lvlJc w:val="left"/>
      <w:pPr>
        <w:ind w:left="720" w:hanging="360"/>
      </w:pPr>
      <w:rPr>
        <w:rFonts w:ascii="Symbol" w:hAnsi="Symbol" w:hint="default"/>
      </w:rPr>
    </w:lvl>
    <w:lvl w:ilvl="1" w:tplc="F322F7EE" w:tentative="1">
      <w:start w:val="1"/>
      <w:numFmt w:val="bullet"/>
      <w:lvlText w:val="o"/>
      <w:lvlJc w:val="left"/>
      <w:pPr>
        <w:ind w:left="1440" w:hanging="360"/>
      </w:pPr>
      <w:rPr>
        <w:rFonts w:ascii="Courier New" w:hAnsi="Courier New" w:cs="Courier New" w:hint="default"/>
      </w:rPr>
    </w:lvl>
    <w:lvl w:ilvl="2" w:tplc="16005F42" w:tentative="1">
      <w:start w:val="1"/>
      <w:numFmt w:val="bullet"/>
      <w:lvlText w:val=""/>
      <w:lvlJc w:val="left"/>
      <w:pPr>
        <w:ind w:left="2160" w:hanging="360"/>
      </w:pPr>
      <w:rPr>
        <w:rFonts w:ascii="Wingdings" w:hAnsi="Wingdings" w:hint="default"/>
      </w:rPr>
    </w:lvl>
    <w:lvl w:ilvl="3" w:tplc="DDCC71C6" w:tentative="1">
      <w:start w:val="1"/>
      <w:numFmt w:val="bullet"/>
      <w:lvlText w:val=""/>
      <w:lvlJc w:val="left"/>
      <w:pPr>
        <w:ind w:left="2880" w:hanging="360"/>
      </w:pPr>
      <w:rPr>
        <w:rFonts w:ascii="Symbol" w:hAnsi="Symbol" w:hint="default"/>
      </w:rPr>
    </w:lvl>
    <w:lvl w:ilvl="4" w:tplc="5BFEAA84" w:tentative="1">
      <w:start w:val="1"/>
      <w:numFmt w:val="bullet"/>
      <w:lvlText w:val="o"/>
      <w:lvlJc w:val="left"/>
      <w:pPr>
        <w:ind w:left="3600" w:hanging="360"/>
      </w:pPr>
      <w:rPr>
        <w:rFonts w:ascii="Courier New" w:hAnsi="Courier New" w:cs="Courier New" w:hint="default"/>
      </w:rPr>
    </w:lvl>
    <w:lvl w:ilvl="5" w:tplc="0C1261DC" w:tentative="1">
      <w:start w:val="1"/>
      <w:numFmt w:val="bullet"/>
      <w:lvlText w:val=""/>
      <w:lvlJc w:val="left"/>
      <w:pPr>
        <w:ind w:left="4320" w:hanging="360"/>
      </w:pPr>
      <w:rPr>
        <w:rFonts w:ascii="Wingdings" w:hAnsi="Wingdings" w:hint="default"/>
      </w:rPr>
    </w:lvl>
    <w:lvl w:ilvl="6" w:tplc="9300CC5C" w:tentative="1">
      <w:start w:val="1"/>
      <w:numFmt w:val="bullet"/>
      <w:lvlText w:val=""/>
      <w:lvlJc w:val="left"/>
      <w:pPr>
        <w:ind w:left="5040" w:hanging="360"/>
      </w:pPr>
      <w:rPr>
        <w:rFonts w:ascii="Symbol" w:hAnsi="Symbol" w:hint="default"/>
      </w:rPr>
    </w:lvl>
    <w:lvl w:ilvl="7" w:tplc="5F2A24A0" w:tentative="1">
      <w:start w:val="1"/>
      <w:numFmt w:val="bullet"/>
      <w:lvlText w:val="o"/>
      <w:lvlJc w:val="left"/>
      <w:pPr>
        <w:ind w:left="5760" w:hanging="360"/>
      </w:pPr>
      <w:rPr>
        <w:rFonts w:ascii="Courier New" w:hAnsi="Courier New" w:cs="Courier New" w:hint="default"/>
      </w:rPr>
    </w:lvl>
    <w:lvl w:ilvl="8" w:tplc="5512EFDC" w:tentative="1">
      <w:start w:val="1"/>
      <w:numFmt w:val="bullet"/>
      <w:lvlText w:val=""/>
      <w:lvlJc w:val="left"/>
      <w:pPr>
        <w:ind w:left="6480" w:hanging="360"/>
      </w:pPr>
      <w:rPr>
        <w:rFonts w:ascii="Wingdings" w:hAnsi="Wingdings" w:hint="default"/>
      </w:rPr>
    </w:lvl>
  </w:abstractNum>
  <w:abstractNum w:abstractNumId="8">
    <w:nsid w:val="64EB4C47"/>
    <w:multiLevelType w:val="hybridMultilevel"/>
    <w:tmpl w:val="12662154"/>
    <w:lvl w:ilvl="0" w:tplc="5372A336">
      <w:start w:val="1"/>
      <w:numFmt w:val="decimal"/>
      <w:lvlText w:val="%1."/>
      <w:lvlJc w:val="left"/>
      <w:pPr>
        <w:ind w:left="720" w:hanging="360"/>
      </w:pPr>
      <w:rPr>
        <w:rFonts w:hint="default"/>
      </w:rPr>
    </w:lvl>
    <w:lvl w:ilvl="1" w:tplc="D108CA68" w:tentative="1">
      <w:start w:val="1"/>
      <w:numFmt w:val="lowerLetter"/>
      <w:lvlText w:val="%2."/>
      <w:lvlJc w:val="left"/>
      <w:pPr>
        <w:ind w:left="1440" w:hanging="360"/>
      </w:pPr>
    </w:lvl>
    <w:lvl w:ilvl="2" w:tplc="6EDEC10C" w:tentative="1">
      <w:start w:val="1"/>
      <w:numFmt w:val="lowerRoman"/>
      <w:lvlText w:val="%3."/>
      <w:lvlJc w:val="right"/>
      <w:pPr>
        <w:ind w:left="2160" w:hanging="180"/>
      </w:pPr>
    </w:lvl>
    <w:lvl w:ilvl="3" w:tplc="7408E790" w:tentative="1">
      <w:start w:val="1"/>
      <w:numFmt w:val="decimal"/>
      <w:lvlText w:val="%4."/>
      <w:lvlJc w:val="left"/>
      <w:pPr>
        <w:ind w:left="2880" w:hanging="360"/>
      </w:pPr>
    </w:lvl>
    <w:lvl w:ilvl="4" w:tplc="2C6EF4EC" w:tentative="1">
      <w:start w:val="1"/>
      <w:numFmt w:val="lowerLetter"/>
      <w:lvlText w:val="%5."/>
      <w:lvlJc w:val="left"/>
      <w:pPr>
        <w:ind w:left="3600" w:hanging="360"/>
      </w:pPr>
    </w:lvl>
    <w:lvl w:ilvl="5" w:tplc="C44E87C8" w:tentative="1">
      <w:start w:val="1"/>
      <w:numFmt w:val="lowerRoman"/>
      <w:lvlText w:val="%6."/>
      <w:lvlJc w:val="right"/>
      <w:pPr>
        <w:ind w:left="4320" w:hanging="180"/>
      </w:pPr>
    </w:lvl>
    <w:lvl w:ilvl="6" w:tplc="909E8A10" w:tentative="1">
      <w:start w:val="1"/>
      <w:numFmt w:val="decimal"/>
      <w:lvlText w:val="%7."/>
      <w:lvlJc w:val="left"/>
      <w:pPr>
        <w:ind w:left="5040" w:hanging="360"/>
      </w:pPr>
    </w:lvl>
    <w:lvl w:ilvl="7" w:tplc="1806123E" w:tentative="1">
      <w:start w:val="1"/>
      <w:numFmt w:val="lowerLetter"/>
      <w:lvlText w:val="%8."/>
      <w:lvlJc w:val="left"/>
      <w:pPr>
        <w:ind w:left="5760" w:hanging="360"/>
      </w:pPr>
    </w:lvl>
    <w:lvl w:ilvl="8" w:tplc="2E3898CE"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6"/>
  </w:num>
  <w:num w:numId="5">
    <w:abstractNumId w:val="2"/>
  </w:num>
  <w:num w:numId="6">
    <w:abstractNumId w:val="3"/>
  </w:num>
  <w:num w:numId="7">
    <w:abstractNumId w:val="7"/>
  </w:num>
  <w:num w:numId="8">
    <w:abstractNumId w:va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27321"/>
    <w:rsid w:val="000331DB"/>
    <w:rsid w:val="00034CF3"/>
    <w:rsid w:val="00041ED5"/>
    <w:rsid w:val="00043FC5"/>
    <w:rsid w:val="00051254"/>
    <w:rsid w:val="00062250"/>
    <w:rsid w:val="00072254"/>
    <w:rsid w:val="000777A4"/>
    <w:rsid w:val="000818E7"/>
    <w:rsid w:val="000875E4"/>
    <w:rsid w:val="0009473B"/>
    <w:rsid w:val="0009474F"/>
    <w:rsid w:val="000A2181"/>
    <w:rsid w:val="000A30E9"/>
    <w:rsid w:val="000B0600"/>
    <w:rsid w:val="000B458B"/>
    <w:rsid w:val="000D5BF3"/>
    <w:rsid w:val="000D6CFC"/>
    <w:rsid w:val="000D7EF9"/>
    <w:rsid w:val="000E29C4"/>
    <w:rsid w:val="000E6435"/>
    <w:rsid w:val="000F6BF6"/>
    <w:rsid w:val="000F6E89"/>
    <w:rsid w:val="00100725"/>
    <w:rsid w:val="00101BF4"/>
    <w:rsid w:val="00104BFB"/>
    <w:rsid w:val="001160BF"/>
    <w:rsid w:val="00120712"/>
    <w:rsid w:val="00121608"/>
    <w:rsid w:val="00137BB5"/>
    <w:rsid w:val="0015030C"/>
    <w:rsid w:val="00150342"/>
    <w:rsid w:val="00151815"/>
    <w:rsid w:val="00155E82"/>
    <w:rsid w:val="00156F92"/>
    <w:rsid w:val="001635FC"/>
    <w:rsid w:val="00174E00"/>
    <w:rsid w:val="001801CE"/>
    <w:rsid w:val="00185591"/>
    <w:rsid w:val="00186489"/>
    <w:rsid w:val="001955B6"/>
    <w:rsid w:val="00196BF0"/>
    <w:rsid w:val="001A761D"/>
    <w:rsid w:val="001B12F4"/>
    <w:rsid w:val="001B6CF3"/>
    <w:rsid w:val="001D4E12"/>
    <w:rsid w:val="001E02A3"/>
    <w:rsid w:val="001E10C9"/>
    <w:rsid w:val="001E30AA"/>
    <w:rsid w:val="001E38F0"/>
    <w:rsid w:val="001E7670"/>
    <w:rsid w:val="001E76F9"/>
    <w:rsid w:val="001F07C4"/>
    <w:rsid w:val="001F0B8F"/>
    <w:rsid w:val="00201519"/>
    <w:rsid w:val="00207734"/>
    <w:rsid w:val="00212F31"/>
    <w:rsid w:val="00213F06"/>
    <w:rsid w:val="002170A8"/>
    <w:rsid w:val="002177FF"/>
    <w:rsid w:val="0022515D"/>
    <w:rsid w:val="0022614D"/>
    <w:rsid w:val="00231DEF"/>
    <w:rsid w:val="00253392"/>
    <w:rsid w:val="00253ECF"/>
    <w:rsid w:val="00257215"/>
    <w:rsid w:val="00257C46"/>
    <w:rsid w:val="00287033"/>
    <w:rsid w:val="00290CF3"/>
    <w:rsid w:val="002A5B44"/>
    <w:rsid w:val="002A7757"/>
    <w:rsid w:val="002B4AFD"/>
    <w:rsid w:val="002D1A0E"/>
    <w:rsid w:val="002D7408"/>
    <w:rsid w:val="002E046B"/>
    <w:rsid w:val="002E28A0"/>
    <w:rsid w:val="002E783F"/>
    <w:rsid w:val="002F3B27"/>
    <w:rsid w:val="002F3DB8"/>
    <w:rsid w:val="003025F6"/>
    <w:rsid w:val="00305C14"/>
    <w:rsid w:val="003074D3"/>
    <w:rsid w:val="003114FD"/>
    <w:rsid w:val="00317357"/>
    <w:rsid w:val="00321544"/>
    <w:rsid w:val="003251D9"/>
    <w:rsid w:val="00327572"/>
    <w:rsid w:val="0033334C"/>
    <w:rsid w:val="0033401B"/>
    <w:rsid w:val="00336516"/>
    <w:rsid w:val="0034312B"/>
    <w:rsid w:val="00344045"/>
    <w:rsid w:val="00344228"/>
    <w:rsid w:val="00344C91"/>
    <w:rsid w:val="003535F3"/>
    <w:rsid w:val="00355026"/>
    <w:rsid w:val="00362750"/>
    <w:rsid w:val="00365E05"/>
    <w:rsid w:val="00365F9F"/>
    <w:rsid w:val="00371132"/>
    <w:rsid w:val="003972D7"/>
    <w:rsid w:val="003B5990"/>
    <w:rsid w:val="003B682A"/>
    <w:rsid w:val="003D1E41"/>
    <w:rsid w:val="003F02C2"/>
    <w:rsid w:val="003F1A77"/>
    <w:rsid w:val="003F5EE7"/>
    <w:rsid w:val="003F6DFE"/>
    <w:rsid w:val="003F7382"/>
    <w:rsid w:val="00414677"/>
    <w:rsid w:val="00423585"/>
    <w:rsid w:val="00436315"/>
    <w:rsid w:val="004403C6"/>
    <w:rsid w:val="00446A36"/>
    <w:rsid w:val="00446D93"/>
    <w:rsid w:val="00447892"/>
    <w:rsid w:val="00450B8F"/>
    <w:rsid w:val="004577D2"/>
    <w:rsid w:val="00466C68"/>
    <w:rsid w:val="004755A8"/>
    <w:rsid w:val="00477FCD"/>
    <w:rsid w:val="004819FD"/>
    <w:rsid w:val="00481DF9"/>
    <w:rsid w:val="00486657"/>
    <w:rsid w:val="00486C87"/>
    <w:rsid w:val="0048782E"/>
    <w:rsid w:val="00487A6A"/>
    <w:rsid w:val="00493575"/>
    <w:rsid w:val="004B33BF"/>
    <w:rsid w:val="004B6700"/>
    <w:rsid w:val="004C23D6"/>
    <w:rsid w:val="004C26B3"/>
    <w:rsid w:val="004C2EFC"/>
    <w:rsid w:val="004C654F"/>
    <w:rsid w:val="004D155D"/>
    <w:rsid w:val="004D6491"/>
    <w:rsid w:val="004E2DE5"/>
    <w:rsid w:val="004E4943"/>
    <w:rsid w:val="004F3218"/>
    <w:rsid w:val="004F3359"/>
    <w:rsid w:val="00504703"/>
    <w:rsid w:val="00505237"/>
    <w:rsid w:val="00505DBB"/>
    <w:rsid w:val="00507E3C"/>
    <w:rsid w:val="00526FBE"/>
    <w:rsid w:val="0053218C"/>
    <w:rsid w:val="005343E1"/>
    <w:rsid w:val="00544283"/>
    <w:rsid w:val="0054734E"/>
    <w:rsid w:val="00547FBB"/>
    <w:rsid w:val="00551D4E"/>
    <w:rsid w:val="00570D9B"/>
    <w:rsid w:val="00573D38"/>
    <w:rsid w:val="005820AD"/>
    <w:rsid w:val="0058714B"/>
    <w:rsid w:val="00587D75"/>
    <w:rsid w:val="00595C8F"/>
    <w:rsid w:val="005970F4"/>
    <w:rsid w:val="005A54B1"/>
    <w:rsid w:val="005C6AE6"/>
    <w:rsid w:val="005E1971"/>
    <w:rsid w:val="005E247C"/>
    <w:rsid w:val="005E271B"/>
    <w:rsid w:val="005E643B"/>
    <w:rsid w:val="00600503"/>
    <w:rsid w:val="00600A23"/>
    <w:rsid w:val="006023DA"/>
    <w:rsid w:val="00602416"/>
    <w:rsid w:val="00606775"/>
    <w:rsid w:val="00617CA3"/>
    <w:rsid w:val="006307FF"/>
    <w:rsid w:val="006312D9"/>
    <w:rsid w:val="00631D72"/>
    <w:rsid w:val="00632909"/>
    <w:rsid w:val="006347A2"/>
    <w:rsid w:val="00635E77"/>
    <w:rsid w:val="00641B69"/>
    <w:rsid w:val="0064715F"/>
    <w:rsid w:val="00653CFE"/>
    <w:rsid w:val="00655C22"/>
    <w:rsid w:val="00667537"/>
    <w:rsid w:val="006704D4"/>
    <w:rsid w:val="0068272C"/>
    <w:rsid w:val="006A0079"/>
    <w:rsid w:val="006B21C2"/>
    <w:rsid w:val="006C10EB"/>
    <w:rsid w:val="006C5E78"/>
    <w:rsid w:val="006D3D97"/>
    <w:rsid w:val="006E0072"/>
    <w:rsid w:val="006E02AB"/>
    <w:rsid w:val="006E069F"/>
    <w:rsid w:val="006E4DED"/>
    <w:rsid w:val="00701512"/>
    <w:rsid w:val="00706F3B"/>
    <w:rsid w:val="0070750F"/>
    <w:rsid w:val="007109DE"/>
    <w:rsid w:val="00711617"/>
    <w:rsid w:val="00716EE8"/>
    <w:rsid w:val="00730729"/>
    <w:rsid w:val="00737370"/>
    <w:rsid w:val="0074109D"/>
    <w:rsid w:val="00741918"/>
    <w:rsid w:val="00741B39"/>
    <w:rsid w:val="00743D3D"/>
    <w:rsid w:val="007453CE"/>
    <w:rsid w:val="00746468"/>
    <w:rsid w:val="00750302"/>
    <w:rsid w:val="00760E78"/>
    <w:rsid w:val="007740E2"/>
    <w:rsid w:val="00781068"/>
    <w:rsid w:val="00790565"/>
    <w:rsid w:val="00793FA1"/>
    <w:rsid w:val="00795966"/>
    <w:rsid w:val="007968AE"/>
    <w:rsid w:val="00796D55"/>
    <w:rsid w:val="007C5AD8"/>
    <w:rsid w:val="007E28FE"/>
    <w:rsid w:val="007F430B"/>
    <w:rsid w:val="007F468E"/>
    <w:rsid w:val="00823739"/>
    <w:rsid w:val="00823832"/>
    <w:rsid w:val="0082715F"/>
    <w:rsid w:val="00833790"/>
    <w:rsid w:val="00842D49"/>
    <w:rsid w:val="008439F7"/>
    <w:rsid w:val="00853A5E"/>
    <w:rsid w:val="00860477"/>
    <w:rsid w:val="00861210"/>
    <w:rsid w:val="00863646"/>
    <w:rsid w:val="00865512"/>
    <w:rsid w:val="00874064"/>
    <w:rsid w:val="00874EBC"/>
    <w:rsid w:val="0089698E"/>
    <w:rsid w:val="008A31D7"/>
    <w:rsid w:val="008C20F8"/>
    <w:rsid w:val="008C4C47"/>
    <w:rsid w:val="008C598A"/>
    <w:rsid w:val="008C7678"/>
    <w:rsid w:val="008D1ADC"/>
    <w:rsid w:val="008D754E"/>
    <w:rsid w:val="008E5A2F"/>
    <w:rsid w:val="0091171C"/>
    <w:rsid w:val="009125B3"/>
    <w:rsid w:val="00926607"/>
    <w:rsid w:val="00927DFD"/>
    <w:rsid w:val="00927DFF"/>
    <w:rsid w:val="0093000E"/>
    <w:rsid w:val="009351F3"/>
    <w:rsid w:val="00936B78"/>
    <w:rsid w:val="00941798"/>
    <w:rsid w:val="009445D3"/>
    <w:rsid w:val="00947DAD"/>
    <w:rsid w:val="00955EF0"/>
    <w:rsid w:val="00963708"/>
    <w:rsid w:val="009724EE"/>
    <w:rsid w:val="00976B6F"/>
    <w:rsid w:val="00983B77"/>
    <w:rsid w:val="009952A3"/>
    <w:rsid w:val="0099794B"/>
    <w:rsid w:val="009B0391"/>
    <w:rsid w:val="009B3AA0"/>
    <w:rsid w:val="009D72CA"/>
    <w:rsid w:val="009E3932"/>
    <w:rsid w:val="00A07327"/>
    <w:rsid w:val="00A07B13"/>
    <w:rsid w:val="00A14F97"/>
    <w:rsid w:val="00A21E0D"/>
    <w:rsid w:val="00A301EA"/>
    <w:rsid w:val="00A478C3"/>
    <w:rsid w:val="00A5701D"/>
    <w:rsid w:val="00A6221C"/>
    <w:rsid w:val="00A71708"/>
    <w:rsid w:val="00A81FCB"/>
    <w:rsid w:val="00A8532E"/>
    <w:rsid w:val="00A90248"/>
    <w:rsid w:val="00A908B3"/>
    <w:rsid w:val="00A917A0"/>
    <w:rsid w:val="00AA0A9A"/>
    <w:rsid w:val="00AA7D9F"/>
    <w:rsid w:val="00AB3862"/>
    <w:rsid w:val="00AB47D0"/>
    <w:rsid w:val="00AC6E88"/>
    <w:rsid w:val="00AD189D"/>
    <w:rsid w:val="00AD2169"/>
    <w:rsid w:val="00AD382C"/>
    <w:rsid w:val="00AD3CBE"/>
    <w:rsid w:val="00AD449A"/>
    <w:rsid w:val="00AE1709"/>
    <w:rsid w:val="00AE2CE4"/>
    <w:rsid w:val="00B003DC"/>
    <w:rsid w:val="00B04C9F"/>
    <w:rsid w:val="00B07D9A"/>
    <w:rsid w:val="00B137DF"/>
    <w:rsid w:val="00B1610A"/>
    <w:rsid w:val="00B25732"/>
    <w:rsid w:val="00B413FD"/>
    <w:rsid w:val="00B45E5A"/>
    <w:rsid w:val="00B62D67"/>
    <w:rsid w:val="00B802B3"/>
    <w:rsid w:val="00B84629"/>
    <w:rsid w:val="00B876A8"/>
    <w:rsid w:val="00BA2B16"/>
    <w:rsid w:val="00BA6238"/>
    <w:rsid w:val="00BA65AD"/>
    <w:rsid w:val="00BA710B"/>
    <w:rsid w:val="00BB6F1F"/>
    <w:rsid w:val="00BC2941"/>
    <w:rsid w:val="00BC4232"/>
    <w:rsid w:val="00BC6738"/>
    <w:rsid w:val="00BE69E7"/>
    <w:rsid w:val="00BE713F"/>
    <w:rsid w:val="00C05595"/>
    <w:rsid w:val="00C12ED1"/>
    <w:rsid w:val="00C1688D"/>
    <w:rsid w:val="00C205D6"/>
    <w:rsid w:val="00C236E5"/>
    <w:rsid w:val="00C360EF"/>
    <w:rsid w:val="00C41893"/>
    <w:rsid w:val="00C431B5"/>
    <w:rsid w:val="00C43E6B"/>
    <w:rsid w:val="00C60B69"/>
    <w:rsid w:val="00C63AC6"/>
    <w:rsid w:val="00C72F91"/>
    <w:rsid w:val="00C85E31"/>
    <w:rsid w:val="00C91046"/>
    <w:rsid w:val="00C96758"/>
    <w:rsid w:val="00CA29A4"/>
    <w:rsid w:val="00CB69EB"/>
    <w:rsid w:val="00CC4208"/>
    <w:rsid w:val="00CF0805"/>
    <w:rsid w:val="00CF426A"/>
    <w:rsid w:val="00D024C1"/>
    <w:rsid w:val="00D05F87"/>
    <w:rsid w:val="00D07204"/>
    <w:rsid w:val="00D11870"/>
    <w:rsid w:val="00D238D2"/>
    <w:rsid w:val="00D305A4"/>
    <w:rsid w:val="00D35A4D"/>
    <w:rsid w:val="00D35A75"/>
    <w:rsid w:val="00D41FDC"/>
    <w:rsid w:val="00D52A91"/>
    <w:rsid w:val="00D805C7"/>
    <w:rsid w:val="00D876B4"/>
    <w:rsid w:val="00D93F21"/>
    <w:rsid w:val="00D950B4"/>
    <w:rsid w:val="00D95FE1"/>
    <w:rsid w:val="00DA14A8"/>
    <w:rsid w:val="00DA2316"/>
    <w:rsid w:val="00DB2614"/>
    <w:rsid w:val="00DB2744"/>
    <w:rsid w:val="00DB5E8C"/>
    <w:rsid w:val="00DC7D59"/>
    <w:rsid w:val="00DD0163"/>
    <w:rsid w:val="00DD20B0"/>
    <w:rsid w:val="00DD4BB3"/>
    <w:rsid w:val="00DE72EF"/>
    <w:rsid w:val="00DF233C"/>
    <w:rsid w:val="00DF2D96"/>
    <w:rsid w:val="00E03DC2"/>
    <w:rsid w:val="00E07E73"/>
    <w:rsid w:val="00E13475"/>
    <w:rsid w:val="00E15B09"/>
    <w:rsid w:val="00E164A5"/>
    <w:rsid w:val="00E16B32"/>
    <w:rsid w:val="00E21440"/>
    <w:rsid w:val="00E23383"/>
    <w:rsid w:val="00E26DD8"/>
    <w:rsid w:val="00E35690"/>
    <w:rsid w:val="00E37037"/>
    <w:rsid w:val="00E42F20"/>
    <w:rsid w:val="00E54749"/>
    <w:rsid w:val="00E55A0D"/>
    <w:rsid w:val="00E5706F"/>
    <w:rsid w:val="00E66F69"/>
    <w:rsid w:val="00E71F4B"/>
    <w:rsid w:val="00E73312"/>
    <w:rsid w:val="00E76DF7"/>
    <w:rsid w:val="00E878F7"/>
    <w:rsid w:val="00E954F2"/>
    <w:rsid w:val="00EA1D1E"/>
    <w:rsid w:val="00EA7BDE"/>
    <w:rsid w:val="00EB681F"/>
    <w:rsid w:val="00EB6D2E"/>
    <w:rsid w:val="00EC2654"/>
    <w:rsid w:val="00EC6C9B"/>
    <w:rsid w:val="00EC704F"/>
    <w:rsid w:val="00ED7EAC"/>
    <w:rsid w:val="00EE3769"/>
    <w:rsid w:val="00EE4D60"/>
    <w:rsid w:val="00EF253B"/>
    <w:rsid w:val="00EF2A90"/>
    <w:rsid w:val="00EF2EF8"/>
    <w:rsid w:val="00EF7D46"/>
    <w:rsid w:val="00F03464"/>
    <w:rsid w:val="00F12351"/>
    <w:rsid w:val="00F23125"/>
    <w:rsid w:val="00F23E9D"/>
    <w:rsid w:val="00F30290"/>
    <w:rsid w:val="00F336FD"/>
    <w:rsid w:val="00F4275A"/>
    <w:rsid w:val="00F54954"/>
    <w:rsid w:val="00F832CD"/>
    <w:rsid w:val="00F8647E"/>
    <w:rsid w:val="00F872D1"/>
    <w:rsid w:val="00F90027"/>
    <w:rsid w:val="00F9747C"/>
    <w:rsid w:val="00FA129E"/>
    <w:rsid w:val="00FA468F"/>
    <w:rsid w:val="00FA5255"/>
    <w:rsid w:val="00FA7104"/>
    <w:rsid w:val="00FB3260"/>
    <w:rsid w:val="00FB7CBC"/>
    <w:rsid w:val="00FC03FA"/>
    <w:rsid w:val="00FC45B4"/>
    <w:rsid w:val="00FC5DE4"/>
    <w:rsid w:val="00FC7928"/>
    <w:rsid w:val="00FE2528"/>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C79764"/>
  <w15:docId w15:val="{AB9AEDFD-0340-41B8-85C5-715EB061D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365F9F"/>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F872D1"/>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606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blog/2012/04/10/iso-27001-control-objectives-why-are-they-important/" TargetMode="External"/><Relationship Id="rId2" Type="http://schemas.openxmlformats.org/officeDocument/2006/relationships/hyperlink" Target="https://advisera.com/books/iso-27001-annex-controls-plain-english/" TargetMode="External"/><Relationship Id="rId1" Type="http://schemas.openxmlformats.org/officeDocument/2006/relationships/hyperlink" Target="https://advisera.com/27001academy/de/knowledgebase/die-bedeutung-der-erklarung-zur-anwendbarkeit-fur-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de/documentation/erklaerung-zur-anwendbarkeit/"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AF68680-2BA0-4A6F-B28E-9F9FED496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4</Pages>
  <Words>517</Words>
  <Characters>2949</Characters>
  <Application>Microsoft Office Word</Application>
  <DocSecurity>0</DocSecurity>
  <Lines>24</Lines>
  <Paragraphs>6</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Erklärung zur Anwendbarkeit</vt:lpstr>
      <vt:lpstr>Erklärung zur Anwendbarkeit</vt:lpstr>
      <vt:lpstr>Statement of Applicability</vt:lpstr>
    </vt:vector>
  </TitlesOfParts>
  <Company>Advisera Expert Solutions Ltd</Company>
  <LinksUpToDate>false</LinksUpToDate>
  <CharactersWithSpaces>3460</CharactersWithSpaces>
  <SharedDoc>false</SharedDoc>
  <HLinks>
    <vt:vector size="36" baseType="variant">
      <vt:variant>
        <vt:i4>1376310</vt:i4>
      </vt:variant>
      <vt:variant>
        <vt:i4>32</vt:i4>
      </vt:variant>
      <vt:variant>
        <vt:i4>0</vt:i4>
      </vt:variant>
      <vt:variant>
        <vt:i4>5</vt:i4>
      </vt:variant>
      <vt:variant>
        <vt:lpwstr/>
      </vt:variant>
      <vt:variant>
        <vt:lpwstr>_Toc271415445</vt:lpwstr>
      </vt:variant>
      <vt:variant>
        <vt:i4>1376310</vt:i4>
      </vt:variant>
      <vt:variant>
        <vt:i4>26</vt:i4>
      </vt:variant>
      <vt:variant>
        <vt:i4>0</vt:i4>
      </vt:variant>
      <vt:variant>
        <vt:i4>5</vt:i4>
      </vt:variant>
      <vt:variant>
        <vt:lpwstr/>
      </vt:variant>
      <vt:variant>
        <vt:lpwstr>_Toc271415444</vt:lpwstr>
      </vt:variant>
      <vt:variant>
        <vt:i4>1376310</vt:i4>
      </vt:variant>
      <vt:variant>
        <vt:i4>20</vt:i4>
      </vt:variant>
      <vt:variant>
        <vt:i4>0</vt:i4>
      </vt:variant>
      <vt:variant>
        <vt:i4>5</vt:i4>
      </vt:variant>
      <vt:variant>
        <vt:lpwstr/>
      </vt:variant>
      <vt:variant>
        <vt:lpwstr>_Toc271415443</vt:lpwstr>
      </vt:variant>
      <vt:variant>
        <vt:i4>1376310</vt:i4>
      </vt:variant>
      <vt:variant>
        <vt:i4>14</vt:i4>
      </vt:variant>
      <vt:variant>
        <vt:i4>0</vt:i4>
      </vt:variant>
      <vt:variant>
        <vt:i4>5</vt:i4>
      </vt:variant>
      <vt:variant>
        <vt:lpwstr/>
      </vt:variant>
      <vt:variant>
        <vt:lpwstr>_Toc271415442</vt:lpwstr>
      </vt:variant>
      <vt:variant>
        <vt:i4>1376310</vt:i4>
      </vt:variant>
      <vt:variant>
        <vt:i4>8</vt:i4>
      </vt:variant>
      <vt:variant>
        <vt:i4>0</vt:i4>
      </vt:variant>
      <vt:variant>
        <vt:i4>5</vt:i4>
      </vt:variant>
      <vt:variant>
        <vt:lpwstr/>
      </vt:variant>
      <vt:variant>
        <vt:lpwstr>_Toc271415441</vt:lpwstr>
      </vt:variant>
      <vt:variant>
        <vt:i4>1376310</vt:i4>
      </vt:variant>
      <vt:variant>
        <vt:i4>2</vt:i4>
      </vt:variant>
      <vt:variant>
        <vt:i4>0</vt:i4>
      </vt:variant>
      <vt:variant>
        <vt:i4>5</vt:i4>
      </vt:variant>
      <vt:variant>
        <vt:lpwstr/>
      </vt:variant>
      <vt:variant>
        <vt:lpwstr>_Toc271415440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Erklärung zur Anwendbarkeit</dc:title>
  <dc:creator>EUGDPRAcademy</dc:creator>
  <dc:description>©2017 Diese Vorlage kann von Kunden von Advisera Expert Solutions Ltd. www.advisera.com gemäß der Lizenzvereinbarung verwendet werden.</dc:description>
  <cp:lastModifiedBy>EUGDPRAcademy</cp:lastModifiedBy>
  <cp:revision>48</cp:revision>
  <cp:lastPrinted>2010-08-20T13:34:00Z</cp:lastPrinted>
  <dcterms:created xsi:type="dcterms:W3CDTF">2013-10-04T03:07:00Z</dcterms:created>
  <dcterms:modified xsi:type="dcterms:W3CDTF">2018-02-04T09:36:00Z</dcterms:modified>
</cp:coreProperties>
</file>