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0898C4" w14:textId="77777777" w:rsidR="0008166F" w:rsidRDefault="009D2E80" w:rsidP="0008166F">
      <w:pPr>
        <w:rPr>
          <w:b/>
          <w:sz w:val="28"/>
        </w:rPr>
      </w:pPr>
      <w:bookmarkStart w:id="0" w:name="_Toc263078249"/>
      <w:commentRangeStart w:id="1"/>
      <w:r w:rsidRPr="0086637A">
        <w:rPr>
          <w:b/>
          <w:sz w:val="28"/>
        </w:rPr>
        <w:t>Plan für Training und Awareness</w:t>
      </w:r>
      <w:commentRangeEnd w:id="1"/>
      <w:r w:rsidR="00DA1E29" w:rsidRPr="0086637A">
        <w:rPr>
          <w:rStyle w:val="CommentReference"/>
        </w:rPr>
        <w:commentReference w:id="1"/>
      </w:r>
    </w:p>
    <w:p w14:paraId="0BBABE9B" w14:textId="2F0AF3FC" w:rsidR="00B00CDC" w:rsidRPr="00B00CDC" w:rsidRDefault="00B00CDC" w:rsidP="00B00CDC">
      <w:pPr>
        <w:jc w:val="center"/>
        <w:rPr>
          <w:sz w:val="28"/>
          <w:szCs w:val="28"/>
        </w:rPr>
      </w:pPr>
      <w:r w:rsidRPr="00B00CDC">
        <w:rPr>
          <w:szCs w:val="28"/>
        </w:rPr>
        <w:t>**KOSTENLOSE VORSCHAUVERSION**</w:t>
      </w:r>
    </w:p>
    <w:p w14:paraId="28D94596" w14:textId="77777777" w:rsidR="0008166F" w:rsidRPr="0086637A" w:rsidRDefault="00233F72" w:rsidP="0008166F">
      <w:r w:rsidRPr="0086637A">
        <w:t>Um</w:t>
      </w:r>
      <w:r w:rsidR="0008166F" w:rsidRPr="0086637A">
        <w:t xml:space="preserve"> </w:t>
      </w:r>
      <w:r w:rsidRPr="0086637A">
        <w:t xml:space="preserve">das </w:t>
      </w:r>
      <w:commentRangeStart w:id="2"/>
      <w:r w:rsidRPr="0086637A">
        <w:t>Personal</w:t>
      </w:r>
      <w:commentRangeEnd w:id="2"/>
      <w:r w:rsidR="00DA1E29" w:rsidRPr="0086637A">
        <w:rPr>
          <w:rStyle w:val="CommentReference"/>
        </w:rPr>
        <w:commentReference w:id="2"/>
      </w:r>
      <w:r w:rsidR="005711ED" w:rsidRPr="0086637A">
        <w:t xml:space="preserve"> </w:t>
      </w:r>
      <w:r w:rsidRPr="0086637A">
        <w:t xml:space="preserve">mit einer </w:t>
      </w:r>
      <w:r w:rsidR="00CE4586" w:rsidRPr="0086637A">
        <w:t>Funktion</w:t>
      </w:r>
      <w:r w:rsidRPr="0086637A">
        <w:t xml:space="preserve"> i</w:t>
      </w:r>
      <w:r w:rsidR="00495EDF" w:rsidRPr="0086637A">
        <w:t>n der Informationssicherheit</w:t>
      </w:r>
      <w:r w:rsidRPr="0086637A">
        <w:t xml:space="preserve"> für die Durchführung seiner Aufgaben zu qualifizieren, müssen folgende </w:t>
      </w:r>
      <w:commentRangeStart w:id="3"/>
      <w:r w:rsidRPr="0086637A">
        <w:t>Schulungen</w:t>
      </w:r>
      <w:commentRangeEnd w:id="3"/>
      <w:r w:rsidR="00DA1E29" w:rsidRPr="0086637A">
        <w:rPr>
          <w:rStyle w:val="CommentReference"/>
        </w:rPr>
        <w:commentReference w:id="3"/>
      </w:r>
      <w:r w:rsidRPr="0086637A">
        <w:t xml:space="preserve"> durchgeführt werden</w:t>
      </w:r>
      <w:r w:rsidR="0008166F" w:rsidRPr="0086637A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7"/>
        <w:gridCol w:w="2332"/>
        <w:gridCol w:w="2334"/>
        <w:gridCol w:w="2334"/>
        <w:gridCol w:w="2373"/>
        <w:gridCol w:w="2204"/>
      </w:tblGrid>
      <w:tr w:rsidR="0008166F" w:rsidRPr="0086637A" w14:paraId="06A510FD" w14:textId="77777777" w:rsidTr="0008166F">
        <w:tc>
          <w:tcPr>
            <w:tcW w:w="2430" w:type="dxa"/>
            <w:shd w:val="clear" w:color="auto" w:fill="D9D9D9"/>
          </w:tcPr>
          <w:p w14:paraId="324F4FAE" w14:textId="77777777" w:rsidR="0008166F" w:rsidRPr="0086637A" w:rsidRDefault="00E83764" w:rsidP="00E83764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86637A">
              <w:rPr>
                <w:b/>
                <w:i/>
                <w:sz w:val="20"/>
              </w:rPr>
              <w:t>Stellenbezeichnung oder N</w:t>
            </w:r>
            <w:r w:rsidR="0008166F" w:rsidRPr="0086637A">
              <w:rPr>
                <w:b/>
                <w:i/>
                <w:sz w:val="20"/>
              </w:rPr>
              <w:t>ame</w:t>
            </w:r>
            <w:commentRangeEnd w:id="4"/>
            <w:r w:rsidR="00DA1E29" w:rsidRPr="0086637A">
              <w:rPr>
                <w:rStyle w:val="CommentReference"/>
              </w:rPr>
              <w:commentReference w:id="4"/>
            </w:r>
          </w:p>
        </w:tc>
        <w:tc>
          <w:tcPr>
            <w:tcW w:w="2375" w:type="dxa"/>
            <w:shd w:val="clear" w:color="auto" w:fill="D9D9D9"/>
          </w:tcPr>
          <w:p w14:paraId="27B084ED" w14:textId="6BFABDC9" w:rsidR="0008166F" w:rsidRPr="0086637A" w:rsidRDefault="00B00CDC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2377" w:type="dxa"/>
            <w:shd w:val="clear" w:color="auto" w:fill="D9D9D9"/>
          </w:tcPr>
          <w:p w14:paraId="39E85336" w14:textId="34796A81" w:rsidR="0008166F" w:rsidRPr="0086637A" w:rsidRDefault="00B00CDC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2377" w:type="dxa"/>
            <w:shd w:val="clear" w:color="auto" w:fill="D9D9D9"/>
          </w:tcPr>
          <w:p w14:paraId="20CD13AA" w14:textId="0602149C" w:rsidR="0008166F" w:rsidRPr="0086637A" w:rsidRDefault="00B00CDC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2417" w:type="dxa"/>
            <w:shd w:val="clear" w:color="auto" w:fill="D9D9D9"/>
          </w:tcPr>
          <w:p w14:paraId="76781A73" w14:textId="2DFCFBB4" w:rsidR="0008166F" w:rsidRPr="0086637A" w:rsidRDefault="00B00CDC" w:rsidP="003E48A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2244" w:type="dxa"/>
            <w:shd w:val="clear" w:color="auto" w:fill="D9D9D9"/>
          </w:tcPr>
          <w:p w14:paraId="789BA8BB" w14:textId="5B3A422F" w:rsidR="0008166F" w:rsidRPr="0086637A" w:rsidRDefault="00B00CDC" w:rsidP="003E48A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</w:tr>
      <w:tr w:rsidR="00CC17DE" w:rsidRPr="0086637A" w14:paraId="5F308B04" w14:textId="77777777" w:rsidTr="0008166F">
        <w:tc>
          <w:tcPr>
            <w:tcW w:w="2430" w:type="dxa"/>
          </w:tcPr>
          <w:p w14:paraId="0589618D" w14:textId="3C1007D4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02701513" w14:textId="25F17B33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0E52BE2" w14:textId="19BDEB1D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2D13681" w14:textId="4C41F76D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7F249C38" w14:textId="4A8ADCB5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A8A1ABD" w14:textId="6509F863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1C3177CB" w14:textId="77777777" w:rsidTr="0008166F">
        <w:tc>
          <w:tcPr>
            <w:tcW w:w="2430" w:type="dxa"/>
          </w:tcPr>
          <w:p w14:paraId="645207CB" w14:textId="488388C9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3A01F3CD" w14:textId="5D6A0D0D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7F2DF61" w14:textId="5DC4AE92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B707942" w14:textId="7E1098D9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4E8BDE7" w14:textId="4F5B5675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FCA3A75" w14:textId="4E09219D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684E06" w:rsidRPr="0086637A" w14:paraId="2DB6F317" w14:textId="77777777" w:rsidTr="0008166F">
        <w:tc>
          <w:tcPr>
            <w:tcW w:w="2430" w:type="dxa"/>
          </w:tcPr>
          <w:p w14:paraId="30CD5FB1" w14:textId="6D7C59F3" w:rsidR="00684E06" w:rsidRPr="0086637A" w:rsidRDefault="00684E06" w:rsidP="00684E0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51DCE4F0" w14:textId="1641984C" w:rsidR="00684E06" w:rsidRPr="0086637A" w:rsidRDefault="00684E06" w:rsidP="00684E0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247AAA6" w14:textId="55757620" w:rsidR="00684E06" w:rsidRPr="0086637A" w:rsidRDefault="00684E06" w:rsidP="00684E0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26A6584" w14:textId="6498D021" w:rsidR="00684E06" w:rsidRPr="0086637A" w:rsidRDefault="00684E06" w:rsidP="00684E0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36C5502C" w14:textId="5AF7843C" w:rsidR="00684E06" w:rsidRPr="0086637A" w:rsidRDefault="00684E06" w:rsidP="00684E0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AA16BF2" w14:textId="7923516C" w:rsidR="00684E06" w:rsidRPr="0086637A" w:rsidRDefault="00684E06" w:rsidP="00684E06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088C5529" w14:textId="77777777" w:rsidTr="0008166F">
        <w:tc>
          <w:tcPr>
            <w:tcW w:w="2430" w:type="dxa"/>
          </w:tcPr>
          <w:p w14:paraId="5E987A77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1A9F2184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5D58936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BFDC8A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207F8BF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6DEB32B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0A19AC52" w14:textId="77777777" w:rsidTr="0008166F">
        <w:tc>
          <w:tcPr>
            <w:tcW w:w="2430" w:type="dxa"/>
          </w:tcPr>
          <w:p w14:paraId="0AABC5E3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AD34D95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7544F35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86F6452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4685CE2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2BFFB55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104F3092" w14:textId="77777777" w:rsidTr="0008166F">
        <w:tc>
          <w:tcPr>
            <w:tcW w:w="2430" w:type="dxa"/>
          </w:tcPr>
          <w:p w14:paraId="15F4815C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60136968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3BFA374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9EE8FD4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010871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51A62D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27EA504E" w14:textId="77777777" w:rsidTr="0008166F">
        <w:tc>
          <w:tcPr>
            <w:tcW w:w="2430" w:type="dxa"/>
          </w:tcPr>
          <w:p w14:paraId="49070FC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2EF43A3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A6A981D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65A7099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269E4BD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1CF472D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47A1317C" w14:textId="77777777" w:rsidTr="0008166F">
        <w:tc>
          <w:tcPr>
            <w:tcW w:w="2430" w:type="dxa"/>
          </w:tcPr>
          <w:p w14:paraId="63179AB3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1B96A11E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CAFB87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C4397E5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48272C18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1D370F5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68F1BDD5" w14:textId="77777777" w:rsidTr="0008166F">
        <w:tc>
          <w:tcPr>
            <w:tcW w:w="2430" w:type="dxa"/>
          </w:tcPr>
          <w:p w14:paraId="0DF42AA8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6B1522E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4E8064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444B078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A32E907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5E2267B7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35CB1E90" w14:textId="77777777" w:rsidTr="0008166F">
        <w:tc>
          <w:tcPr>
            <w:tcW w:w="2430" w:type="dxa"/>
          </w:tcPr>
          <w:p w14:paraId="1D0C72DE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019F640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ACC141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22A8F44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15C706C3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0F5B1F44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31A6E806" w14:textId="77777777" w:rsidTr="0008166F">
        <w:tc>
          <w:tcPr>
            <w:tcW w:w="2430" w:type="dxa"/>
          </w:tcPr>
          <w:p w14:paraId="4C60504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25F3B49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162E82F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A720DD2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2488F45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512E9F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016D79A4" w14:textId="77777777" w:rsidTr="0008166F">
        <w:tc>
          <w:tcPr>
            <w:tcW w:w="2430" w:type="dxa"/>
          </w:tcPr>
          <w:p w14:paraId="6B1FFD9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4550EB77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C660B12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01C39F63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48C6576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C1309D7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1E60F47F" w14:textId="77777777" w:rsidTr="0008166F">
        <w:tc>
          <w:tcPr>
            <w:tcW w:w="2430" w:type="dxa"/>
          </w:tcPr>
          <w:p w14:paraId="5FE037DB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37CBBE0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E44EB75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50998BB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C3524BC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DCF223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00C35B87" w14:textId="77777777" w:rsidTr="0008166F">
        <w:tc>
          <w:tcPr>
            <w:tcW w:w="2430" w:type="dxa"/>
          </w:tcPr>
          <w:p w14:paraId="0890756C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28F55613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6F3E653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5D7ECAC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379F594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72FD32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5E7DA93E" w14:textId="77777777" w:rsidTr="0008166F">
        <w:tc>
          <w:tcPr>
            <w:tcW w:w="2430" w:type="dxa"/>
          </w:tcPr>
          <w:p w14:paraId="619B08E8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13B19556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EBAB626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BEA823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E92F4A3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16BFFDF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5B7709F2" w14:textId="77777777" w:rsidTr="0008166F">
        <w:tc>
          <w:tcPr>
            <w:tcW w:w="2430" w:type="dxa"/>
          </w:tcPr>
          <w:p w14:paraId="15D28D3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497F1FDC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CF62852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A758CC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AA5C672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14BAC07C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267C0195" w14:textId="77777777" w:rsidR="00DA1E29" w:rsidRPr="0086637A" w:rsidRDefault="00DA1E29" w:rsidP="00031F13"/>
    <w:p w14:paraId="1D82DAEC" w14:textId="02244101" w:rsidR="0008166F" w:rsidRPr="0086637A" w:rsidRDefault="00E35856" w:rsidP="0008166F">
      <w:r w:rsidRPr="0086637A">
        <w:t xml:space="preserve">Damit das Personal die Wichtigkeit von </w:t>
      </w:r>
      <w:r w:rsidR="00495EDF" w:rsidRPr="0086637A">
        <w:t>Informationssicherheit</w:t>
      </w:r>
      <w:r w:rsidRPr="0086637A">
        <w:t xml:space="preserve"> und </w:t>
      </w:r>
      <w:r w:rsidR="00495EDF" w:rsidRPr="0086637A">
        <w:t>seines eigenen</w:t>
      </w:r>
      <w:r w:rsidRPr="0086637A">
        <w:t xml:space="preserve"> Beitrags zu</w:t>
      </w:r>
      <w:r w:rsidR="00495EDF" w:rsidRPr="0086637A">
        <w:t>m ISMS</w:t>
      </w:r>
      <w:r w:rsidRPr="0086637A">
        <w:t xml:space="preserve"> versteht</w:t>
      </w:r>
      <w:r w:rsidR="00495EDF" w:rsidRPr="0086637A">
        <w:t xml:space="preserve">, </w:t>
      </w:r>
      <w:r w:rsidRPr="0086637A">
        <w:t>die Richtlinie</w:t>
      </w:r>
      <w:r w:rsidR="00495EDF" w:rsidRPr="0086637A">
        <w:t>n</w:t>
      </w:r>
      <w:r w:rsidRPr="0086637A">
        <w:t xml:space="preserve"> und Pläne hierzu annimmt</w:t>
      </w:r>
      <w:r w:rsidR="00495EDF" w:rsidRPr="0086637A">
        <w:t xml:space="preserve"> und auch die Konsequenzen bei Verstößen gegen informationssicherheitliche Vorschriften verstehen lernt</w:t>
      </w:r>
      <w:r w:rsidRPr="0086637A">
        <w:t>, müssen folgende Awareness-Methoden umgesetzt werden</w:t>
      </w:r>
      <w:r w:rsidR="0008166F" w:rsidRPr="0086637A">
        <w:t xml:space="preserve">: </w:t>
      </w:r>
      <w:commentRangeStart w:id="5"/>
      <w:r w:rsidRPr="0086637A">
        <w:t>Informations-Tag</w:t>
      </w:r>
      <w:commentRangeEnd w:id="5"/>
      <w:r w:rsidR="00DA1E29" w:rsidRPr="0086637A">
        <w:rPr>
          <w:rStyle w:val="CommentReference"/>
        </w:rPr>
        <w:commentReference w:id="5"/>
      </w:r>
      <w:r w:rsidR="0008166F" w:rsidRPr="0086637A">
        <w:t>,</w:t>
      </w:r>
      <w:r w:rsidRPr="0086637A">
        <w:t xml:space="preserve"> </w:t>
      </w:r>
      <w:commentRangeStart w:id="6"/>
      <w:r w:rsidRPr="0086637A">
        <w:t>I</w:t>
      </w:r>
      <w:r w:rsidR="0008166F" w:rsidRPr="0086637A">
        <w:t xml:space="preserve">ntranet </w:t>
      </w:r>
      <w:r w:rsidRPr="0086637A">
        <w:t>Artikel</w:t>
      </w:r>
      <w:commentRangeEnd w:id="6"/>
      <w:r w:rsidR="00DA1E29" w:rsidRPr="0086637A">
        <w:rPr>
          <w:rStyle w:val="CommentReference"/>
        </w:rPr>
        <w:commentReference w:id="6"/>
      </w:r>
      <w:r w:rsidR="0008166F" w:rsidRPr="0086637A">
        <w:t xml:space="preserve">, </w:t>
      </w:r>
      <w:commentRangeStart w:id="7"/>
      <w:r w:rsidRPr="0086637A">
        <w:t>N</w:t>
      </w:r>
      <w:r w:rsidR="0008166F" w:rsidRPr="0086637A">
        <w:t>ewsletter</w:t>
      </w:r>
      <w:commentRangeEnd w:id="7"/>
      <w:r w:rsidR="00DA1E29" w:rsidRPr="0086637A">
        <w:rPr>
          <w:rStyle w:val="CommentReference"/>
        </w:rPr>
        <w:commentReference w:id="7"/>
      </w:r>
      <w:r w:rsidR="0008166F" w:rsidRPr="0086637A">
        <w:t xml:space="preserve">, </w:t>
      </w:r>
      <w:commentRangeStart w:id="8"/>
      <w:r w:rsidR="001F481A" w:rsidRPr="0086637A">
        <w:t>gemeinsame Treffen</w:t>
      </w:r>
      <w:commentRangeEnd w:id="8"/>
      <w:r w:rsidR="00DA1E29" w:rsidRPr="0086637A">
        <w:rPr>
          <w:rStyle w:val="CommentReference"/>
        </w:rPr>
        <w:commentReference w:id="8"/>
      </w:r>
      <w:r w:rsidR="0008166F" w:rsidRPr="0086637A">
        <w:t xml:space="preserve">, </w:t>
      </w:r>
      <w:commentRangeStart w:id="9"/>
      <w:r w:rsidR="0008166F" w:rsidRPr="0086637A">
        <w:t>E</w:t>
      </w:r>
      <w:r w:rsidR="001F481A" w:rsidRPr="0086637A">
        <w:t>-L</w:t>
      </w:r>
      <w:r w:rsidR="0008166F" w:rsidRPr="0086637A">
        <w:t>earning</w:t>
      </w:r>
      <w:commentRangeEnd w:id="9"/>
      <w:r w:rsidR="00DA1E29" w:rsidRPr="0086637A">
        <w:rPr>
          <w:rStyle w:val="CommentReference"/>
        </w:rPr>
        <w:commentReference w:id="9"/>
      </w:r>
      <w:r w:rsidR="001F481A" w:rsidRPr="0086637A">
        <w:t>, interne E-M</w:t>
      </w:r>
      <w:r w:rsidR="0008166F" w:rsidRPr="0086637A">
        <w:t xml:space="preserve">ail </w:t>
      </w:r>
      <w:r w:rsidR="001F481A" w:rsidRPr="0086637A">
        <w:t>Nachrichten</w:t>
      </w:r>
      <w:r w:rsidR="0008166F" w:rsidRPr="0086637A">
        <w:t xml:space="preserve">, </w:t>
      </w:r>
      <w:commentRangeStart w:id="10"/>
      <w:r w:rsidR="001F481A" w:rsidRPr="0086637A">
        <w:t>Videoaufnahmen</w:t>
      </w:r>
      <w:commentRangeEnd w:id="10"/>
      <w:r w:rsidR="00DA1E29" w:rsidRPr="0086637A">
        <w:rPr>
          <w:rStyle w:val="CommentReference"/>
        </w:rPr>
        <w:commentReference w:id="10"/>
      </w:r>
      <w:r w:rsidR="0008166F" w:rsidRPr="0086637A">
        <w:t xml:space="preserve">, </w:t>
      </w:r>
      <w:commentRangeStart w:id="11"/>
      <w:r w:rsidR="0008166F" w:rsidRPr="0086637A">
        <w:t>[</w:t>
      </w:r>
      <w:r w:rsidR="001F481A" w:rsidRPr="0086637A">
        <w:t>andere organisationsübliche Methoden</w:t>
      </w:r>
      <w:r w:rsidR="0008166F" w:rsidRPr="0086637A">
        <w:t>]</w:t>
      </w:r>
      <w:commentRangeEnd w:id="11"/>
      <w:r w:rsidR="00DA1E29" w:rsidRPr="0086637A">
        <w:rPr>
          <w:rStyle w:val="CommentReference"/>
        </w:rPr>
        <w:commentReference w:id="11"/>
      </w:r>
      <w:r w:rsidR="00DA1E29" w:rsidRPr="0086637A">
        <w:t>.</w:t>
      </w:r>
    </w:p>
    <w:p w14:paraId="40155C16" w14:textId="77777777" w:rsidR="0008166F" w:rsidRPr="0086637A" w:rsidRDefault="001F481A" w:rsidP="0008166F">
      <w:r w:rsidRPr="0086637A">
        <w:lastRenderedPageBreak/>
        <w:t xml:space="preserve">Zeitplan für die Durchführung von </w:t>
      </w:r>
      <w:r w:rsidR="0008166F" w:rsidRPr="0086637A">
        <w:t>Training</w:t>
      </w:r>
      <w:r w:rsidRPr="0086637A">
        <w:t>s und Awareness-Maßnahmen wie folgt: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5"/>
        <w:gridCol w:w="1096"/>
        <w:gridCol w:w="1093"/>
        <w:gridCol w:w="1058"/>
        <w:gridCol w:w="1069"/>
        <w:gridCol w:w="1058"/>
        <w:gridCol w:w="1010"/>
        <w:gridCol w:w="1022"/>
        <w:gridCol w:w="1104"/>
        <w:gridCol w:w="1098"/>
        <w:gridCol w:w="882"/>
        <w:gridCol w:w="1062"/>
        <w:gridCol w:w="1037"/>
      </w:tblGrid>
      <w:tr w:rsidR="0046586B" w:rsidRPr="0086637A" w14:paraId="26695EB4" w14:textId="77777777" w:rsidTr="00CC17DE">
        <w:tc>
          <w:tcPr>
            <w:tcW w:w="1431" w:type="dxa"/>
            <w:shd w:val="clear" w:color="auto" w:fill="D9D9D9"/>
          </w:tcPr>
          <w:p w14:paraId="0E7A955B" w14:textId="2CC2444E" w:rsidR="0008166F" w:rsidRPr="0086637A" w:rsidRDefault="00B00CDC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114" w:type="dxa"/>
            <w:shd w:val="clear" w:color="auto" w:fill="D9D9D9"/>
          </w:tcPr>
          <w:p w14:paraId="0FC083FA" w14:textId="159522F2" w:rsidR="0008166F" w:rsidRPr="0086637A" w:rsidRDefault="00B00CDC" w:rsidP="00273880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111" w:type="dxa"/>
            <w:shd w:val="clear" w:color="auto" w:fill="D9D9D9"/>
          </w:tcPr>
          <w:p w14:paraId="6793BEF9" w14:textId="3A930617" w:rsidR="0008166F" w:rsidRPr="0086637A" w:rsidRDefault="00B00CDC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069" w:type="dxa"/>
            <w:shd w:val="clear" w:color="auto" w:fill="D9D9D9"/>
          </w:tcPr>
          <w:p w14:paraId="2A12364B" w14:textId="77777777" w:rsidR="0008166F" w:rsidRPr="0086637A" w:rsidRDefault="00273880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 w:rsidRPr="0086637A">
              <w:rPr>
                <w:b/>
                <w:i/>
                <w:sz w:val="20"/>
              </w:rPr>
              <w:t>März</w:t>
            </w:r>
          </w:p>
        </w:tc>
        <w:tc>
          <w:tcPr>
            <w:tcW w:w="1087" w:type="dxa"/>
            <w:shd w:val="clear" w:color="auto" w:fill="D9D9D9"/>
          </w:tcPr>
          <w:p w14:paraId="17B99AF0" w14:textId="37C8C798" w:rsidR="0008166F" w:rsidRPr="0086637A" w:rsidRDefault="00B00CDC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075" w:type="dxa"/>
            <w:shd w:val="clear" w:color="auto" w:fill="D9D9D9"/>
          </w:tcPr>
          <w:p w14:paraId="4679ABCC" w14:textId="538447F2" w:rsidR="0008166F" w:rsidRPr="0086637A" w:rsidRDefault="00B00CDC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026" w:type="dxa"/>
            <w:shd w:val="clear" w:color="auto" w:fill="D9D9D9"/>
          </w:tcPr>
          <w:p w14:paraId="44C09D4E" w14:textId="75B905DA" w:rsidR="0008166F" w:rsidRPr="0086637A" w:rsidRDefault="00B00CDC" w:rsidP="00273880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039" w:type="dxa"/>
            <w:shd w:val="clear" w:color="auto" w:fill="D9D9D9"/>
          </w:tcPr>
          <w:p w14:paraId="2C5F9E44" w14:textId="0D6A51DE" w:rsidR="0008166F" w:rsidRPr="0086637A" w:rsidRDefault="00B00CDC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123" w:type="dxa"/>
            <w:shd w:val="clear" w:color="auto" w:fill="D9D9D9"/>
          </w:tcPr>
          <w:p w14:paraId="6B4763E0" w14:textId="195A4D22" w:rsidR="0008166F" w:rsidRPr="0086637A" w:rsidRDefault="00B00CDC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116" w:type="dxa"/>
            <w:shd w:val="clear" w:color="auto" w:fill="D9D9D9"/>
          </w:tcPr>
          <w:p w14:paraId="2CCF8C07" w14:textId="64F858EA" w:rsidR="0008166F" w:rsidRPr="0086637A" w:rsidRDefault="00B00CDC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895" w:type="dxa"/>
            <w:shd w:val="clear" w:color="auto" w:fill="D9D9D9"/>
          </w:tcPr>
          <w:p w14:paraId="313BA191" w14:textId="6303E51D" w:rsidR="0008166F" w:rsidRPr="0086637A" w:rsidRDefault="00B00CDC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080" w:type="dxa"/>
            <w:shd w:val="clear" w:color="auto" w:fill="D9D9D9"/>
          </w:tcPr>
          <w:p w14:paraId="57B1F3EB" w14:textId="3F91586E" w:rsidR="0008166F" w:rsidRPr="0086637A" w:rsidRDefault="00B00CDC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054" w:type="dxa"/>
            <w:shd w:val="clear" w:color="auto" w:fill="D9D9D9"/>
          </w:tcPr>
          <w:p w14:paraId="60E759B5" w14:textId="2BA4C8A5" w:rsidR="0008166F" w:rsidRPr="0086637A" w:rsidRDefault="00B00CDC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</w:tr>
      <w:tr w:rsidR="00CC17DE" w:rsidRPr="0086637A" w14:paraId="010388C6" w14:textId="77777777" w:rsidTr="00CC17DE">
        <w:tc>
          <w:tcPr>
            <w:tcW w:w="1431" w:type="dxa"/>
          </w:tcPr>
          <w:p w14:paraId="3362F316" w14:textId="73FB07FA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14:paraId="761468B5" w14:textId="2B7649D4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11" w:type="dxa"/>
          </w:tcPr>
          <w:p w14:paraId="0801E02B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69" w:type="dxa"/>
          </w:tcPr>
          <w:p w14:paraId="4B018133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87" w:type="dxa"/>
          </w:tcPr>
          <w:p w14:paraId="13C6687B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75" w:type="dxa"/>
          </w:tcPr>
          <w:p w14:paraId="3DA30030" w14:textId="6BB21FAE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26" w:type="dxa"/>
          </w:tcPr>
          <w:p w14:paraId="314B128C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39" w:type="dxa"/>
          </w:tcPr>
          <w:p w14:paraId="281347EC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23" w:type="dxa"/>
          </w:tcPr>
          <w:p w14:paraId="06BAF205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16" w:type="dxa"/>
          </w:tcPr>
          <w:p w14:paraId="4CE34FA8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895" w:type="dxa"/>
          </w:tcPr>
          <w:p w14:paraId="4773AF75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C1EE3A9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54" w:type="dxa"/>
          </w:tcPr>
          <w:p w14:paraId="0810A12A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CC17DE" w:rsidRPr="0086637A" w14:paraId="7E9E41A6" w14:textId="77777777" w:rsidTr="00CC17DE">
        <w:tc>
          <w:tcPr>
            <w:tcW w:w="1431" w:type="dxa"/>
          </w:tcPr>
          <w:p w14:paraId="7FA2D676" w14:textId="006E0A58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14:paraId="250A7876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11" w:type="dxa"/>
          </w:tcPr>
          <w:p w14:paraId="1DBC152B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69" w:type="dxa"/>
          </w:tcPr>
          <w:p w14:paraId="5384E557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87" w:type="dxa"/>
          </w:tcPr>
          <w:p w14:paraId="2C5F28D4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75" w:type="dxa"/>
          </w:tcPr>
          <w:p w14:paraId="59AE07E8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26" w:type="dxa"/>
          </w:tcPr>
          <w:p w14:paraId="047246A5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39" w:type="dxa"/>
          </w:tcPr>
          <w:p w14:paraId="2F0CE8FB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23" w:type="dxa"/>
          </w:tcPr>
          <w:p w14:paraId="1D52B223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16" w:type="dxa"/>
          </w:tcPr>
          <w:p w14:paraId="0888B119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895" w:type="dxa"/>
          </w:tcPr>
          <w:p w14:paraId="7EFED163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0B3C3D8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54" w:type="dxa"/>
          </w:tcPr>
          <w:p w14:paraId="5B6CF921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CC17DE" w:rsidRPr="0086637A" w14:paraId="5153E8AC" w14:textId="77777777" w:rsidTr="00CC17DE">
        <w:tc>
          <w:tcPr>
            <w:tcW w:w="1431" w:type="dxa"/>
          </w:tcPr>
          <w:p w14:paraId="18497545" w14:textId="0396DC12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14:paraId="55248433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11" w:type="dxa"/>
          </w:tcPr>
          <w:p w14:paraId="74F071D7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69" w:type="dxa"/>
          </w:tcPr>
          <w:p w14:paraId="474C32BA" w14:textId="78C39E25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87" w:type="dxa"/>
          </w:tcPr>
          <w:p w14:paraId="5142D985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75" w:type="dxa"/>
          </w:tcPr>
          <w:p w14:paraId="0C9F95E4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26" w:type="dxa"/>
          </w:tcPr>
          <w:p w14:paraId="614605BF" w14:textId="077D9B83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39" w:type="dxa"/>
          </w:tcPr>
          <w:p w14:paraId="565759E2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23" w:type="dxa"/>
          </w:tcPr>
          <w:p w14:paraId="702029B6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16" w:type="dxa"/>
          </w:tcPr>
          <w:p w14:paraId="1CED1990" w14:textId="54BA3B31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895" w:type="dxa"/>
          </w:tcPr>
          <w:p w14:paraId="4EFA7943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A0AD1E8" w14:textId="77777777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54" w:type="dxa"/>
          </w:tcPr>
          <w:p w14:paraId="0C23B7EE" w14:textId="188F83A6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CC17DE" w:rsidRPr="0086637A" w14:paraId="46A533B8" w14:textId="77777777" w:rsidTr="00CC17DE">
        <w:tc>
          <w:tcPr>
            <w:tcW w:w="1431" w:type="dxa"/>
          </w:tcPr>
          <w:p w14:paraId="1B11E5B4" w14:textId="0C2E2BA3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14:paraId="18A5EE5A" w14:textId="7EB8A210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11" w:type="dxa"/>
          </w:tcPr>
          <w:p w14:paraId="30B5C2DF" w14:textId="715C5869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69" w:type="dxa"/>
          </w:tcPr>
          <w:p w14:paraId="4801A620" w14:textId="176DFBAA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87" w:type="dxa"/>
          </w:tcPr>
          <w:p w14:paraId="024EED8C" w14:textId="2A3A3E1F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75" w:type="dxa"/>
          </w:tcPr>
          <w:p w14:paraId="28FBD81F" w14:textId="6BC61C58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26" w:type="dxa"/>
          </w:tcPr>
          <w:p w14:paraId="609EE2F2" w14:textId="02D6213F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39" w:type="dxa"/>
          </w:tcPr>
          <w:p w14:paraId="4A754BE9" w14:textId="01ADC7C9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23" w:type="dxa"/>
          </w:tcPr>
          <w:p w14:paraId="10EDF600" w14:textId="404A6913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16" w:type="dxa"/>
          </w:tcPr>
          <w:p w14:paraId="14031500" w14:textId="5742FF56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895" w:type="dxa"/>
          </w:tcPr>
          <w:p w14:paraId="554960EA" w14:textId="74540B50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B17C885" w14:textId="0BA5D7CA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54" w:type="dxa"/>
          </w:tcPr>
          <w:p w14:paraId="5A749C83" w14:textId="4D853DEF" w:rsidR="00CC17DE" w:rsidRPr="0086637A" w:rsidRDefault="00CC17DE" w:rsidP="00CC17D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CC17DE" w:rsidRPr="0086637A" w14:paraId="07D346C7" w14:textId="77777777" w:rsidTr="00CC17DE">
        <w:tc>
          <w:tcPr>
            <w:tcW w:w="1431" w:type="dxa"/>
          </w:tcPr>
          <w:p w14:paraId="4ABDE36C" w14:textId="7FE9AECD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14:paraId="71CA8E4F" w14:textId="64C8A18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1" w:type="dxa"/>
          </w:tcPr>
          <w:p w14:paraId="02C25202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14:paraId="73D0BA04" w14:textId="3BE1E98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7" w:type="dxa"/>
          </w:tcPr>
          <w:p w14:paraId="297D1A8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14:paraId="3F6E7266" w14:textId="08BFA9CE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0B277AFD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9" w:type="dxa"/>
          </w:tcPr>
          <w:p w14:paraId="04A5FDC7" w14:textId="1594CE6B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14:paraId="6F0561CE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3C86039D" w14:textId="379621A0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14:paraId="7C456789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0DA1FA3E" w14:textId="624CCE60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1A09DF96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5BA0BC1A" w14:textId="77777777" w:rsidTr="00CC17DE">
        <w:tc>
          <w:tcPr>
            <w:tcW w:w="1431" w:type="dxa"/>
          </w:tcPr>
          <w:p w14:paraId="4F4EE622" w14:textId="42E3EADB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14:paraId="20DF75C7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1" w:type="dxa"/>
          </w:tcPr>
          <w:p w14:paraId="37B61B73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14:paraId="6047E18B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7" w:type="dxa"/>
          </w:tcPr>
          <w:p w14:paraId="40A4785F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14:paraId="00AABD6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31314A6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9" w:type="dxa"/>
          </w:tcPr>
          <w:p w14:paraId="4AFF079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14:paraId="34D1F79E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76153187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14:paraId="2619ECAC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4B995A3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55273172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30B17D71" w14:textId="77777777" w:rsidTr="00CC17DE">
        <w:tc>
          <w:tcPr>
            <w:tcW w:w="1431" w:type="dxa"/>
          </w:tcPr>
          <w:p w14:paraId="405D1B8B" w14:textId="3CB59B1E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14:paraId="4EF6852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1" w:type="dxa"/>
          </w:tcPr>
          <w:p w14:paraId="625E1076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14:paraId="4DAA7807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7" w:type="dxa"/>
          </w:tcPr>
          <w:p w14:paraId="1FCB735F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14:paraId="5B15BA48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6B9853E4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9" w:type="dxa"/>
          </w:tcPr>
          <w:p w14:paraId="4DD735B5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14:paraId="54343F8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7376625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14:paraId="1FA8130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0DEDCE08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7705B303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09731C95" w14:textId="77777777" w:rsidTr="00CC17DE">
        <w:tc>
          <w:tcPr>
            <w:tcW w:w="1431" w:type="dxa"/>
          </w:tcPr>
          <w:p w14:paraId="24261B90" w14:textId="1E0C9349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14:paraId="64FC300A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1" w:type="dxa"/>
          </w:tcPr>
          <w:p w14:paraId="39CBC979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14:paraId="59FCF8A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7" w:type="dxa"/>
          </w:tcPr>
          <w:p w14:paraId="58DB11E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14:paraId="6749B2F6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1163797C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9" w:type="dxa"/>
          </w:tcPr>
          <w:p w14:paraId="30385607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14:paraId="7C49050F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18540B56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14:paraId="6B439185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1A328CC3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204EC89E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10B1B54C" w14:textId="77777777" w:rsidTr="00CC17DE">
        <w:tc>
          <w:tcPr>
            <w:tcW w:w="1431" w:type="dxa"/>
          </w:tcPr>
          <w:p w14:paraId="201C4909" w14:textId="637B12A3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14:paraId="782AADFD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1" w:type="dxa"/>
          </w:tcPr>
          <w:p w14:paraId="1861CD4E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14:paraId="7B0DEFB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7" w:type="dxa"/>
          </w:tcPr>
          <w:p w14:paraId="60B148A4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14:paraId="0C3CB8C9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1089BE8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9" w:type="dxa"/>
          </w:tcPr>
          <w:p w14:paraId="0F5E1948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14:paraId="27FC9E66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21556E39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14:paraId="657238E7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69FDD899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4A6B47E3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  <w:tr w:rsidR="00CC17DE" w:rsidRPr="0086637A" w14:paraId="167C6633" w14:textId="77777777" w:rsidTr="00CC17DE">
        <w:tc>
          <w:tcPr>
            <w:tcW w:w="1431" w:type="dxa"/>
          </w:tcPr>
          <w:p w14:paraId="0C84D252" w14:textId="0386DD1F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14:paraId="5E853F9F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1" w:type="dxa"/>
          </w:tcPr>
          <w:p w14:paraId="38E69A9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14:paraId="01C4846C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7" w:type="dxa"/>
          </w:tcPr>
          <w:p w14:paraId="6B18CB3E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14:paraId="313A0994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1A8E4D82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9" w:type="dxa"/>
          </w:tcPr>
          <w:p w14:paraId="6040266D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14:paraId="180F1844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16229510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14:paraId="47BD4EAB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447FD761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7776753C" w14:textId="77777777" w:rsidR="00CC17DE" w:rsidRPr="0086637A" w:rsidRDefault="00CC17DE" w:rsidP="00CC17DE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34C5A11" w14:textId="77777777" w:rsidR="0008166F" w:rsidRPr="0086637A" w:rsidRDefault="0008166F" w:rsidP="0008166F"/>
    <w:p w14:paraId="4D34EDEB" w14:textId="77777777" w:rsidR="00CC17DE" w:rsidRPr="0086637A" w:rsidRDefault="00CC17DE" w:rsidP="00CC17DE">
      <w:r w:rsidRPr="0086637A">
        <w:t>Verantwortlichkeiten:</w:t>
      </w:r>
    </w:p>
    <w:p w14:paraId="029840FE" w14:textId="77777777" w:rsidR="00CC17DE" w:rsidRPr="0086637A" w:rsidRDefault="00CC17DE" w:rsidP="00CC17DE">
      <w:pPr>
        <w:numPr>
          <w:ilvl w:val="0"/>
          <w:numId w:val="11"/>
        </w:numPr>
        <w:spacing w:after="0"/>
      </w:pPr>
      <w:commentRangeStart w:id="12"/>
      <w:r w:rsidRPr="0086637A">
        <w:t>[Stellenbezeichnung]</w:t>
      </w:r>
      <w:commentRangeEnd w:id="12"/>
      <w:r w:rsidR="00D908C9" w:rsidRPr="0086637A">
        <w:rPr>
          <w:rStyle w:val="CommentReference"/>
        </w:rPr>
        <w:commentReference w:id="12"/>
      </w:r>
      <w:r w:rsidRPr="0086637A">
        <w:t xml:space="preserve"> ist für die Koordination aller Trainings und Maßnahmen zur Bewusstseinsbildung (Awareness) verantwortlich</w:t>
      </w:r>
    </w:p>
    <w:p w14:paraId="260203FA" w14:textId="77777777" w:rsidR="00CC17DE" w:rsidRPr="0086637A" w:rsidRDefault="00CC17DE" w:rsidP="00CC17DE">
      <w:pPr>
        <w:numPr>
          <w:ilvl w:val="0"/>
          <w:numId w:val="11"/>
        </w:numPr>
        <w:spacing w:after="0"/>
      </w:pPr>
      <w:commentRangeStart w:id="13"/>
      <w:r w:rsidRPr="0086637A">
        <w:t>[Stellenbezeichnung]</w:t>
      </w:r>
      <w:commentRangeEnd w:id="13"/>
      <w:r w:rsidR="00D908C9" w:rsidRPr="0086637A">
        <w:rPr>
          <w:rStyle w:val="CommentReference"/>
        </w:rPr>
        <w:commentReference w:id="13"/>
      </w:r>
      <w:r w:rsidRPr="0086637A">
        <w:t xml:space="preserve"> ist für die Protokollierung aller Trainings verantwortlich</w:t>
      </w:r>
    </w:p>
    <w:p w14:paraId="365F4E0A" w14:textId="77777777" w:rsidR="00CC17DE" w:rsidRPr="0086637A" w:rsidRDefault="00CC17DE" w:rsidP="00CC17DE">
      <w:pPr>
        <w:numPr>
          <w:ilvl w:val="0"/>
          <w:numId w:val="11"/>
        </w:numPr>
        <w:spacing w:after="0"/>
      </w:pPr>
      <w:commentRangeStart w:id="14"/>
      <w:r w:rsidRPr="0086637A">
        <w:t>[Stellenbezeichnung]</w:t>
      </w:r>
      <w:commentRangeEnd w:id="14"/>
      <w:r w:rsidR="00D908C9" w:rsidRPr="0086637A">
        <w:rPr>
          <w:rStyle w:val="CommentReference"/>
        </w:rPr>
        <w:commentReference w:id="14"/>
      </w:r>
      <w:r w:rsidRPr="0086637A">
        <w:t xml:space="preserve"> ist für die Bewertung der Zielerreichung der Trainings verantwortlich</w:t>
      </w:r>
    </w:p>
    <w:p w14:paraId="0141934E" w14:textId="77777777" w:rsidR="00CC17DE" w:rsidRDefault="00CC17DE" w:rsidP="00CC17DE">
      <w:pPr>
        <w:numPr>
          <w:ilvl w:val="0"/>
          <w:numId w:val="11"/>
        </w:numPr>
        <w:spacing w:after="0"/>
      </w:pPr>
      <w:commentRangeStart w:id="15"/>
      <w:r w:rsidRPr="0086637A">
        <w:t>[Stellenbezeichnung]</w:t>
      </w:r>
      <w:commentRangeEnd w:id="15"/>
      <w:r w:rsidR="00D908C9" w:rsidRPr="0086637A">
        <w:rPr>
          <w:rStyle w:val="CommentReference"/>
        </w:rPr>
        <w:commentReference w:id="15"/>
      </w:r>
      <w:r w:rsidRPr="0086637A">
        <w:t xml:space="preserve"> ist für diesen Plan verantwortlich, der </w:t>
      </w:r>
      <w:commentRangeStart w:id="16"/>
      <w:r w:rsidRPr="0086637A">
        <w:t>[Beschreibung des Aufbewahrungsortes]</w:t>
      </w:r>
      <w:commentRangeEnd w:id="16"/>
      <w:r w:rsidR="00D908C9" w:rsidRPr="0086637A">
        <w:rPr>
          <w:rStyle w:val="CommentReference"/>
        </w:rPr>
        <w:commentReference w:id="16"/>
      </w:r>
      <w:r w:rsidRPr="0086637A">
        <w:t xml:space="preserve"> aufbewahrt wird und diese Person ist die einzige, welche die Berechtigung zur Bearbeitung und Änderung dieses Dokuments besitzt; diese Unterlage muss für </w:t>
      </w:r>
      <w:commentRangeStart w:id="17"/>
      <w:r w:rsidRPr="0086637A">
        <w:t>[Anzahl] Jahre</w:t>
      </w:r>
      <w:commentRangeEnd w:id="17"/>
      <w:r w:rsidR="00D908C9" w:rsidRPr="0086637A">
        <w:rPr>
          <w:rStyle w:val="CommentReference"/>
        </w:rPr>
        <w:commentReference w:id="17"/>
      </w:r>
      <w:r w:rsidRPr="0086637A">
        <w:t xml:space="preserve"> aufbewahrt werden</w:t>
      </w:r>
    </w:p>
    <w:p w14:paraId="67DDA2EF" w14:textId="77777777" w:rsidR="00B00CDC" w:rsidRDefault="00B00CDC" w:rsidP="00B00CDC">
      <w:pPr>
        <w:spacing w:after="0"/>
      </w:pPr>
    </w:p>
    <w:p w14:paraId="3CC09F43" w14:textId="77777777" w:rsidR="00B00CDC" w:rsidRDefault="00B00CDC" w:rsidP="00B00CDC">
      <w:pPr>
        <w:spacing w:after="0"/>
      </w:pPr>
    </w:p>
    <w:p w14:paraId="3950D425" w14:textId="77777777" w:rsidR="00B00CDC" w:rsidRDefault="00B00CDC" w:rsidP="00B00CDC">
      <w:pPr>
        <w:spacing w:after="0"/>
        <w:jc w:val="center"/>
      </w:pPr>
    </w:p>
    <w:p w14:paraId="6CE76262" w14:textId="77777777" w:rsidR="00B00CDC" w:rsidRDefault="00B00CDC" w:rsidP="00B00CDC">
      <w:pPr>
        <w:spacing w:after="0"/>
        <w:jc w:val="center"/>
      </w:pPr>
    </w:p>
    <w:p w14:paraId="385E662D" w14:textId="77777777" w:rsidR="00B00CDC" w:rsidRDefault="00B00CDC" w:rsidP="00B00CDC">
      <w:pPr>
        <w:spacing w:after="0"/>
        <w:jc w:val="center"/>
      </w:pPr>
      <w:r>
        <w:t>**ENDE DER KOSTENFREIEN VORSCHAU**</w:t>
      </w:r>
    </w:p>
    <w:p w14:paraId="44AAB185" w14:textId="188293AF" w:rsidR="00B00CDC" w:rsidRDefault="00B00CDC" w:rsidP="00B00CDC">
      <w:pPr>
        <w:spacing w:after="0"/>
        <w:jc w:val="center"/>
      </w:pPr>
      <w:r>
        <w:t>Um die Vollversion dieses Dokumentes herunterzuladen, klicken Sie hier:</w:t>
      </w:r>
    </w:p>
    <w:p w14:paraId="6468510D" w14:textId="3E84E44F" w:rsidR="00B00CDC" w:rsidRPr="0086637A" w:rsidRDefault="00B00CDC" w:rsidP="0046586B">
      <w:pPr>
        <w:spacing w:after="0"/>
        <w:jc w:val="center"/>
      </w:pPr>
      <w:hyperlink r:id="rId10" w:history="1">
        <w:r w:rsidRPr="00B00CDC">
          <w:rPr>
            <w:rStyle w:val="Hyperlink"/>
            <w:lang w:val="de-DE"/>
          </w:rPr>
          <w:t>https://advisera.com/27001academy/de/documentation/plan-fuer-trainings-und-awareness/</w:t>
        </w:r>
      </w:hyperlink>
      <w:bookmarkStart w:id="18" w:name="_GoBack"/>
      <w:bookmarkEnd w:id="18"/>
    </w:p>
    <w:p w14:paraId="101302DD" w14:textId="75EE2CAD" w:rsidR="0008166F" w:rsidRPr="0086637A" w:rsidRDefault="0008166F" w:rsidP="00CC17DE"/>
    <w:sectPr w:rsidR="0008166F" w:rsidRPr="0086637A" w:rsidSect="0008166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27001Academy" w:date="2022-11-23T08:52:00Z" w:initials="27A">
    <w:p w14:paraId="19D925CA" w14:textId="7BA73F3E" w:rsidR="00DA1E29" w:rsidRDefault="00DA1E29" w:rsidP="00DA1E29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A3465">
        <w:rPr>
          <w:rStyle w:val="CommentReference"/>
          <w:color w:val="000000" w:themeColor="text1"/>
        </w:rPr>
        <w:annotationRef/>
      </w:r>
      <w:r w:rsidRPr="006A3465">
        <w:rPr>
          <w:color w:val="000000" w:themeColor="text1"/>
        </w:rPr>
        <w:t xml:space="preserve">Anleitungen </w:t>
      </w:r>
      <w:r>
        <w:rPr>
          <w:color w:val="000000" w:themeColor="text1"/>
        </w:rPr>
        <w:t xml:space="preserve">zur </w:t>
      </w:r>
      <w:r w:rsidRPr="006A3465">
        <w:rPr>
          <w:color w:val="000000" w:themeColor="text1"/>
        </w:rPr>
        <w:t>Durchführung dieser Aktivitäten finden Sie in diesem Artikel:</w:t>
      </w:r>
    </w:p>
    <w:p w14:paraId="3A8B8894" w14:textId="77777777" w:rsidR="00DA1E29" w:rsidRDefault="00DA1E29" w:rsidP="00DA1E29">
      <w:pPr>
        <w:pStyle w:val="CommentText"/>
        <w:rPr>
          <w:color w:val="000000" w:themeColor="text1"/>
        </w:rPr>
      </w:pPr>
    </w:p>
    <w:p w14:paraId="165B49DA" w14:textId="58E884A2" w:rsidR="00DA1E29" w:rsidRPr="00DA1E29" w:rsidRDefault="00DA1E29">
      <w:pPr>
        <w:pStyle w:val="CommentText"/>
        <w:rPr>
          <w:color w:val="000000" w:themeColor="text1"/>
          <w:lang w:val="en-US"/>
        </w:rPr>
      </w:pPr>
      <w:r w:rsidRPr="00AF4E5C">
        <w:rPr>
          <w:color w:val="000000" w:themeColor="text1"/>
          <w:lang w:val="en-US"/>
        </w:rPr>
        <w:t xml:space="preserve">How to perform training &amp; awareness for ISO 27001 and ISO 22301 </w:t>
      </w:r>
      <w:hyperlink r:id="rId1" w:history="1">
        <w:r w:rsidRPr="00F42D51">
          <w:rPr>
            <w:rStyle w:val="Hyperlink"/>
            <w:lang w:val="en-US"/>
          </w:rPr>
          <w:t>https://advisera.com/27001academy/blog/2014/05/19/how-to-perform-training-awareness-for-iso-27001-and-iso-22301/</w:t>
        </w:r>
      </w:hyperlink>
      <w:r>
        <w:rPr>
          <w:color w:val="000000" w:themeColor="text1"/>
          <w:lang w:val="en-US"/>
        </w:rPr>
        <w:t xml:space="preserve"> </w:t>
      </w:r>
    </w:p>
  </w:comment>
  <w:comment w:id="2" w:author="27001Academy" w:date="2022-11-23T08:52:00Z" w:initials="27A">
    <w:p w14:paraId="3C104041" w14:textId="3108B8E7" w:rsidR="00DA1E29" w:rsidRDefault="00DA1E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869FE">
        <w:rPr>
          <w:rStyle w:val="CommentReference"/>
        </w:rPr>
        <w:annotationRef/>
      </w:r>
      <w:r w:rsidRPr="009869FE">
        <w:t>Dies bezieht sich sowohl auf firmeneigene Mitarbeiter als auch auf externes Personal.</w:t>
      </w:r>
    </w:p>
  </w:comment>
  <w:comment w:id="3" w:author="27001Academy" w:date="2022-11-23T08:52:00Z" w:initials="27A">
    <w:p w14:paraId="28D5AA22" w14:textId="77777777" w:rsidR="00DA1E29" w:rsidRPr="00DB2AFF" w:rsidRDefault="00DA1E29" w:rsidP="00DA1E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B2AFF">
        <w:rPr>
          <w:rStyle w:val="CommentReference"/>
        </w:rPr>
        <w:t>Beispiele für allgemeine Sensibilisierung und Schulungen, die berücksichtigt werden sollten, finden Sie in diesem Artikel:</w:t>
      </w:r>
    </w:p>
    <w:p w14:paraId="27ECA9C7" w14:textId="77777777" w:rsidR="00DA1E29" w:rsidRPr="00D4738D" w:rsidRDefault="00DA1E29" w:rsidP="00DA1E29">
      <w:pPr>
        <w:pStyle w:val="CommentText"/>
      </w:pPr>
    </w:p>
    <w:p w14:paraId="5E3F053D" w14:textId="2D37083F" w:rsidR="00DA1E29" w:rsidRPr="00DA1E29" w:rsidRDefault="00DA1E29">
      <w:pPr>
        <w:pStyle w:val="CommentText"/>
        <w:rPr>
          <w:lang w:val="en-US"/>
        </w:rPr>
      </w:pPr>
      <w:r w:rsidRPr="00CC17DE">
        <w:rPr>
          <w:lang w:val="en-US"/>
        </w:rPr>
        <w:t xml:space="preserve">8 Security Practices to Use in Your Employee Training and Awareness Program </w:t>
      </w:r>
      <w:hyperlink r:id="rId2" w:history="1">
        <w:r w:rsidRPr="009C0D69">
          <w:rPr>
            <w:rStyle w:val="Hyperlink"/>
          </w:rPr>
          <w:t>https://advisera.com/27001academy/blog/2015/03/02/8-security-practices-to-use-in-your-employee-training-and-awareness-program/</w:t>
        </w:r>
      </w:hyperlink>
    </w:p>
  </w:comment>
  <w:comment w:id="4" w:author="27001Academy" w:date="2022-11-23T08:53:00Z" w:initials="27A">
    <w:p w14:paraId="0391CBE1" w14:textId="7D5A647F" w:rsidR="00DA1E29" w:rsidRPr="009869FE" w:rsidRDefault="00DA1E29" w:rsidP="00DA1E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869FE">
        <w:rPr>
          <w:rStyle w:val="CommentReference"/>
        </w:rPr>
        <w:annotationRef/>
      </w:r>
      <w:r w:rsidRPr="009869FE">
        <w:t>Die Stellenbezeichnung wird eingetragen falls es Aufgaben gibt, die auf mehrere Personen aufgeteilt sind; der Name wird eingetragen, wenn Aufgaben eindeutig einer Person zugeordnet sind.</w:t>
      </w:r>
    </w:p>
    <w:p w14:paraId="0B473262" w14:textId="77777777" w:rsidR="00DA1E29" w:rsidRPr="009869FE" w:rsidRDefault="00DA1E29" w:rsidP="00DA1E29">
      <w:pPr>
        <w:pStyle w:val="CommentText"/>
      </w:pPr>
    </w:p>
    <w:p w14:paraId="60CCEEA9" w14:textId="475177F0" w:rsidR="00DA1E29" w:rsidRDefault="00DA1E29">
      <w:pPr>
        <w:pStyle w:val="CommentText"/>
      </w:pPr>
      <w:r w:rsidRPr="009869FE">
        <w:t>Alle Per</w:t>
      </w:r>
      <w:r>
        <w:t>sonen mit einer Rolle im ISMS</w:t>
      </w:r>
      <w:r w:rsidRPr="009869FE">
        <w:t xml:space="preserve"> müssen mit einbezogen werden</w:t>
      </w:r>
      <w:r>
        <w:t>.</w:t>
      </w:r>
    </w:p>
  </w:comment>
  <w:comment w:id="5" w:author="27001Academy" w:date="2022-11-23T08:58:00Z" w:initials="27A">
    <w:p w14:paraId="11976659" w14:textId="5EE96762" w:rsidR="00DA1E29" w:rsidRDefault="00DA1E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869FE">
        <w:rPr>
          <w:rStyle w:val="CommentReference"/>
        </w:rPr>
        <w:annotationRef/>
      </w:r>
      <w:r w:rsidRPr="009869FE">
        <w:t xml:space="preserve">Falls Zusammenkünfte stattfinden, könnte die Gelegenheit für Werbung zum </w:t>
      </w:r>
      <w:r>
        <w:t>Thema Informationssicherhei</w:t>
      </w:r>
      <w:r w:rsidRPr="009869FE">
        <w:t>t genutzt werden.</w:t>
      </w:r>
    </w:p>
  </w:comment>
  <w:comment w:id="6" w:author="27001Academy" w:date="2022-11-23T08:58:00Z" w:initials="27A">
    <w:p w14:paraId="30D11218" w14:textId="4D005374" w:rsidR="00DA1E29" w:rsidRDefault="00DA1E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Sofern dies für die interne Kommunikation gebräuchlich ist.</w:t>
      </w:r>
    </w:p>
  </w:comment>
  <w:comment w:id="7" w:author="27001Academy" w:date="2022-11-23T08:59:00Z" w:initials="27A">
    <w:p w14:paraId="0D892143" w14:textId="0BAADF97" w:rsidR="00DA1E29" w:rsidRDefault="00DA1E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Sofern dies in der Organisation üblich ist.</w:t>
      </w:r>
    </w:p>
  </w:comment>
  <w:comment w:id="8" w:author="27001Academy" w:date="2022-11-23T08:59:00Z" w:initials="27A">
    <w:p w14:paraId="3BEAD176" w14:textId="391F31D8" w:rsidR="00DA1E29" w:rsidRDefault="00DA1E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Regelmäßige Treffen für die Präsentation ausgewählter Themenbereiche nutzen.</w:t>
      </w:r>
    </w:p>
  </w:comment>
  <w:comment w:id="9" w:author="27001Academy" w:date="2022-11-23T08:59:00Z" w:initials="27A">
    <w:p w14:paraId="0913046E" w14:textId="610E15D1" w:rsidR="00DA1E29" w:rsidRDefault="00DA1E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Am Markt verfügbare oder für die Organisation angepasste Kurse nutzen.</w:t>
      </w:r>
    </w:p>
  </w:comment>
  <w:comment w:id="10" w:author="27001Academy" w:date="2022-11-23T08:59:00Z" w:initials="27A">
    <w:p w14:paraId="10A2386F" w14:textId="4DA7FA02" w:rsidR="00DA1E29" w:rsidRDefault="00DA1E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Videos können ein mächtiges Präsentations-Medium sein.</w:t>
      </w:r>
    </w:p>
  </w:comment>
  <w:comment w:id="11" w:author="27001Academy" w:date="2022-11-23T09:00:00Z" w:initials="27A">
    <w:p w14:paraId="0EB13789" w14:textId="32368472" w:rsidR="00DA1E29" w:rsidRDefault="00DA1E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Schließen Sie alle zusätzlichen Methoden ein, die Sie verwenden, um das Personal über die Bedeutung des Informationssicherheitsmanagements gemäß den Praktiken Ihrer Organisation zu informieren.</w:t>
      </w:r>
    </w:p>
  </w:comment>
  <w:comment w:id="12" w:author="27001Academy" w:date="2022-11-23T09:03:00Z" w:initials="27A">
    <w:p w14:paraId="273396BA" w14:textId="4B755467" w:rsidR="00D908C9" w:rsidRDefault="00D908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41ED4">
        <w:t>Z</w:t>
      </w:r>
      <w:r w:rsidR="0086637A">
        <w:t>.</w:t>
      </w:r>
      <w:r w:rsidRPr="00E41ED4">
        <w:t>B</w:t>
      </w:r>
      <w:r w:rsidR="0086637A">
        <w:t>.</w:t>
      </w:r>
      <w:r w:rsidRPr="00E41ED4">
        <w:t xml:space="preserve"> Sicherheitsmanager, Informationssicherheitsmanager usw.</w:t>
      </w:r>
    </w:p>
  </w:comment>
  <w:comment w:id="13" w:author="27001Academy" w:date="2022-11-23T09:03:00Z" w:initials="27A">
    <w:p w14:paraId="2794F045" w14:textId="08C21EE9" w:rsidR="00D908C9" w:rsidRDefault="00D908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Z.B. Manager der Personalabteilung</w:t>
      </w:r>
    </w:p>
  </w:comment>
  <w:comment w:id="14" w:author="27001Academy" w:date="2022-11-23T09:03:00Z" w:initials="27A">
    <w:p w14:paraId="0A0FE214" w14:textId="6CC5C71A" w:rsidR="00D908C9" w:rsidRDefault="00D908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41ED4">
        <w:t>Z</w:t>
      </w:r>
      <w:r w:rsidR="0086637A">
        <w:t>.</w:t>
      </w:r>
      <w:r w:rsidRPr="00E41ED4">
        <w:t>B</w:t>
      </w:r>
      <w:r w:rsidR="0086637A">
        <w:t>.</w:t>
      </w:r>
      <w:r w:rsidRPr="00E41ED4">
        <w:t xml:space="preserve"> Verantwortlicher </w:t>
      </w:r>
      <w:r>
        <w:t xml:space="preserve">für die </w:t>
      </w:r>
      <w:r w:rsidRPr="00E41ED4">
        <w:t>Geschäfts</w:t>
      </w:r>
      <w:r>
        <w:t>einheit</w:t>
      </w:r>
      <w:r w:rsidRPr="00E41ED4">
        <w:t xml:space="preserve"> Prozessverantwortlicher usw.</w:t>
      </w:r>
    </w:p>
  </w:comment>
  <w:comment w:id="15" w:author="27001Academy" w:date="2022-11-23T09:04:00Z" w:initials="27A">
    <w:p w14:paraId="3803E368" w14:textId="78ADEBF7" w:rsidR="00D908C9" w:rsidRDefault="00D908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41ED4">
        <w:t>Z</w:t>
      </w:r>
      <w:r w:rsidR="0086637A">
        <w:t>.</w:t>
      </w:r>
      <w:r w:rsidRPr="00E41ED4">
        <w:t>B</w:t>
      </w:r>
      <w:r w:rsidR="0086637A">
        <w:t>.</w:t>
      </w:r>
      <w:r w:rsidRPr="00E41ED4">
        <w:t xml:space="preserve"> Sicherheitsmanager, Informationssicherheitsmanager</w:t>
      </w:r>
      <w:r>
        <w:t>, Manager der Personalabteilung</w:t>
      </w:r>
      <w:r w:rsidRPr="00E41ED4">
        <w:t xml:space="preserve"> usw.</w:t>
      </w:r>
    </w:p>
  </w:comment>
  <w:comment w:id="16" w:author="27001Academy" w:date="2022-11-23T09:04:00Z" w:initials="27A">
    <w:p w14:paraId="0D0B6C83" w14:textId="0D685384" w:rsidR="00D908C9" w:rsidRDefault="00D908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86637A">
        <w:rPr>
          <w:rStyle w:val="CommentReference"/>
        </w:rPr>
        <w:t>Z.B.</w:t>
      </w:r>
      <w:r w:rsidRPr="00E41ED4">
        <w:t xml:space="preserve"> Cloud-Speicher, Kabinett in der Personalabteilung usw.</w:t>
      </w:r>
    </w:p>
  </w:comment>
  <w:comment w:id="17" w:author="27001Academy" w:date="2022-11-23T09:05:00Z" w:initials="27A">
    <w:p w14:paraId="698610FF" w14:textId="0C8362EF" w:rsidR="00D908C9" w:rsidRDefault="00D908C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Z.B. drei Jahre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65B49DA" w15:done="0"/>
  <w15:commentEx w15:paraId="3C104041" w15:done="0"/>
  <w15:commentEx w15:paraId="5E3F053D" w15:done="0"/>
  <w15:commentEx w15:paraId="60CCEEA9" w15:done="0"/>
  <w15:commentEx w15:paraId="11976659" w15:done="0"/>
  <w15:commentEx w15:paraId="30D11218" w15:done="0"/>
  <w15:commentEx w15:paraId="0D892143" w15:done="0"/>
  <w15:commentEx w15:paraId="3BEAD176" w15:done="0"/>
  <w15:commentEx w15:paraId="0913046E" w15:done="0"/>
  <w15:commentEx w15:paraId="10A2386F" w15:done="0"/>
  <w15:commentEx w15:paraId="0EB13789" w15:done="0"/>
  <w15:commentEx w15:paraId="273396BA" w15:done="0"/>
  <w15:commentEx w15:paraId="2794F045" w15:done="0"/>
  <w15:commentEx w15:paraId="0A0FE214" w15:done="0"/>
  <w15:commentEx w15:paraId="3803E368" w15:done="0"/>
  <w15:commentEx w15:paraId="0D0B6C83" w15:done="0"/>
  <w15:commentEx w15:paraId="698610F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291AB" w16cex:dateUtc="2022-07-08T09:21:00Z"/>
  <w16cex:commentExtensible w16cex:durableId="267292D1" w16cex:dateUtc="2022-07-08T09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B49DA" w16cid:durableId="27285DB1"/>
  <w16cid:commentId w16cid:paraId="3C104041" w16cid:durableId="27285DD4"/>
  <w16cid:commentId w16cid:paraId="5E3F053D" w16cid:durableId="27285DE4"/>
  <w16cid:commentId w16cid:paraId="60CCEEA9" w16cid:durableId="27285E08"/>
  <w16cid:commentId w16cid:paraId="5933AD74" w16cid:durableId="27285E2D"/>
  <w16cid:commentId w16cid:paraId="5C98F4D6" w16cid:durableId="27285E7D"/>
  <w16cid:commentId w16cid:paraId="58C9CF8C" w16cid:durableId="27285E8F"/>
  <w16cid:commentId w16cid:paraId="3355B8CC" w16cid:durableId="27285E9E"/>
  <w16cid:commentId w16cid:paraId="57F34640" w16cid:durableId="27285EAD"/>
  <w16cid:commentId w16cid:paraId="7C706F8A" w16cid:durableId="27285ECA"/>
  <w16cid:commentId w16cid:paraId="11976659" w16cid:durableId="27285F35"/>
  <w16cid:commentId w16cid:paraId="30D11218" w16cid:durableId="27285F4A"/>
  <w16cid:commentId w16cid:paraId="0D892143" w16cid:durableId="27285F57"/>
  <w16cid:commentId w16cid:paraId="3BEAD176" w16cid:durableId="27285F63"/>
  <w16cid:commentId w16cid:paraId="0913046E" w16cid:durableId="27285F78"/>
  <w16cid:commentId w16cid:paraId="10A2386F" w16cid:durableId="27285F83"/>
  <w16cid:commentId w16cid:paraId="0EB13789" w16cid:durableId="27285F94"/>
  <w16cid:commentId w16cid:paraId="2E933ADE" w16cid:durableId="27285FBF"/>
  <w16cid:commentId w16cid:paraId="636055BD" w16cid:durableId="2728600B"/>
  <w16cid:commentId w16cid:paraId="64E9DB20" w16cid:durableId="2728601E"/>
  <w16cid:commentId w16cid:paraId="273396BA" w16cid:durableId="27286047"/>
  <w16cid:commentId w16cid:paraId="2794F045" w16cid:durableId="27286053"/>
  <w16cid:commentId w16cid:paraId="0A0FE214" w16cid:durableId="2728606B"/>
  <w16cid:commentId w16cid:paraId="3803E368" w16cid:durableId="27286099"/>
  <w16cid:commentId w16cid:paraId="0D0B6C83" w16cid:durableId="272860A6"/>
  <w16cid:commentId w16cid:paraId="698610FF" w16cid:durableId="272860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2CAB4" w14:textId="77777777" w:rsidR="006C6987" w:rsidRDefault="006C6987" w:rsidP="0008166F">
      <w:pPr>
        <w:spacing w:after="0" w:line="240" w:lineRule="auto"/>
      </w:pPr>
      <w:r>
        <w:separator/>
      </w:r>
    </w:p>
  </w:endnote>
  <w:endnote w:type="continuationSeparator" w:id="0">
    <w:p w14:paraId="4B130839" w14:textId="77777777" w:rsidR="006C6987" w:rsidRDefault="006C6987" w:rsidP="0008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693"/>
      <w:gridCol w:w="6094"/>
    </w:tblGrid>
    <w:tr w:rsidR="0008166F" w:rsidRPr="006571EC" w14:paraId="1BC365CB" w14:textId="77777777" w:rsidTr="00F444BE">
      <w:tc>
        <w:tcPr>
          <w:tcW w:w="6204" w:type="dxa"/>
        </w:tcPr>
        <w:p w14:paraId="2AE42B2A" w14:textId="77777777" w:rsidR="0008166F" w:rsidRPr="006571EC" w:rsidRDefault="0008166F" w:rsidP="0008166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Plan</w:t>
          </w:r>
          <w:r w:rsidR="00F53296">
            <w:rPr>
              <w:sz w:val="18"/>
            </w:rPr>
            <w:t xml:space="preserve"> für Training und Awareness</w:t>
          </w:r>
        </w:p>
      </w:tc>
      <w:tc>
        <w:tcPr>
          <w:tcW w:w="2693" w:type="dxa"/>
        </w:tcPr>
        <w:p w14:paraId="0E58AF58" w14:textId="77777777" w:rsidR="0008166F" w:rsidRPr="006571EC" w:rsidRDefault="00F53296" w:rsidP="0008166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08166F">
            <w:rPr>
              <w:sz w:val="18"/>
            </w:rPr>
            <w:t>]</w:t>
          </w:r>
        </w:p>
      </w:tc>
      <w:tc>
        <w:tcPr>
          <w:tcW w:w="6094" w:type="dxa"/>
        </w:tcPr>
        <w:p w14:paraId="7B4B8893" w14:textId="161B0F74" w:rsidR="0008166F" w:rsidRPr="006571EC" w:rsidRDefault="00F53296" w:rsidP="0008166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08166F">
            <w:rPr>
              <w:sz w:val="18"/>
            </w:rPr>
            <w:t xml:space="preserve">e </w:t>
          </w:r>
          <w:r w:rsidR="00CD4416">
            <w:rPr>
              <w:b/>
              <w:sz w:val="18"/>
            </w:rPr>
            <w:fldChar w:fldCharType="begin"/>
          </w:r>
          <w:r w:rsidR="0008166F">
            <w:rPr>
              <w:b/>
              <w:sz w:val="18"/>
            </w:rPr>
            <w:instrText xml:space="preserve"> PAGE </w:instrText>
          </w:r>
          <w:r w:rsidR="00CD4416">
            <w:rPr>
              <w:b/>
              <w:sz w:val="18"/>
            </w:rPr>
            <w:fldChar w:fldCharType="separate"/>
          </w:r>
          <w:r w:rsidR="0046586B">
            <w:rPr>
              <w:b/>
              <w:noProof/>
              <w:sz w:val="18"/>
            </w:rPr>
            <w:t>1</w:t>
          </w:r>
          <w:r w:rsidR="00CD441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08166F">
            <w:rPr>
              <w:sz w:val="18"/>
            </w:rPr>
            <w:t xml:space="preserve"> </w:t>
          </w:r>
          <w:r w:rsidR="00CD4416">
            <w:rPr>
              <w:b/>
              <w:sz w:val="18"/>
            </w:rPr>
            <w:fldChar w:fldCharType="begin"/>
          </w:r>
          <w:r w:rsidR="0008166F">
            <w:rPr>
              <w:b/>
              <w:sz w:val="18"/>
            </w:rPr>
            <w:instrText xml:space="preserve"> NUMPAGES  </w:instrText>
          </w:r>
          <w:r w:rsidR="00CD4416">
            <w:rPr>
              <w:b/>
              <w:sz w:val="18"/>
            </w:rPr>
            <w:fldChar w:fldCharType="separate"/>
          </w:r>
          <w:r w:rsidR="0046586B">
            <w:rPr>
              <w:b/>
              <w:noProof/>
              <w:sz w:val="18"/>
            </w:rPr>
            <w:t>2</w:t>
          </w:r>
          <w:r w:rsidR="00CD4416">
            <w:rPr>
              <w:b/>
              <w:sz w:val="18"/>
            </w:rPr>
            <w:fldChar w:fldCharType="end"/>
          </w:r>
        </w:p>
      </w:tc>
    </w:tr>
  </w:tbl>
  <w:p w14:paraId="3224CFEC" w14:textId="7995E707" w:rsidR="0008166F" w:rsidRPr="004B1E43" w:rsidRDefault="00CC17DE" w:rsidP="00CC17D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C17DE">
      <w:rPr>
        <w:sz w:val="16"/>
      </w:rPr>
      <w:t>©202</w:t>
    </w:r>
    <w:r w:rsidR="00684E06">
      <w:rPr>
        <w:sz w:val="16"/>
      </w:rPr>
      <w:t>2</w:t>
    </w:r>
    <w:r w:rsidRPr="00CC17DE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37711" w14:textId="77777777" w:rsidR="0008166F" w:rsidRPr="004B1E43" w:rsidRDefault="0008166F" w:rsidP="0008166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97442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7294" w14:textId="77777777" w:rsidR="006C6987" w:rsidRDefault="006C6987" w:rsidP="0008166F">
      <w:pPr>
        <w:spacing w:after="0" w:line="240" w:lineRule="auto"/>
      </w:pPr>
      <w:r>
        <w:separator/>
      </w:r>
    </w:p>
  </w:footnote>
  <w:footnote w:type="continuationSeparator" w:id="0">
    <w:p w14:paraId="3A7C16CD" w14:textId="77777777" w:rsidR="006C6987" w:rsidRDefault="006C6987" w:rsidP="0008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8166F" w:rsidRPr="006571EC" w14:paraId="194B1A25" w14:textId="77777777" w:rsidTr="0008166F">
      <w:tc>
        <w:tcPr>
          <w:tcW w:w="6771" w:type="dxa"/>
        </w:tcPr>
        <w:p w14:paraId="0DB958DF" w14:textId="392272AB" w:rsidR="0008166F" w:rsidRPr="006571EC" w:rsidRDefault="0008166F" w:rsidP="0008166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5329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1A93204E" w14:textId="77777777" w:rsidR="0008166F" w:rsidRPr="006571EC" w:rsidRDefault="0008166F" w:rsidP="0008166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53296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7136ADB1" w14:textId="77777777" w:rsidR="0008166F" w:rsidRPr="003056B2" w:rsidRDefault="0008166F" w:rsidP="0008166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1AF2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22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4D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88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E8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C61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AF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C6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08C13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0BA9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60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45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C7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2D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49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20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2C1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8C08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24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C7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F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08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3E5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4E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0B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C3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92981"/>
    <w:multiLevelType w:val="hybridMultilevel"/>
    <w:tmpl w:val="5E0ED10A"/>
    <w:lvl w:ilvl="0" w:tplc="8B50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2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7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A1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6E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4F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5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853EF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4F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C0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EF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C6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88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8A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22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7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B692F"/>
    <w:multiLevelType w:val="hybridMultilevel"/>
    <w:tmpl w:val="C256F658"/>
    <w:lvl w:ilvl="0" w:tplc="8496CE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F5A8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0A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0C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0DC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E6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CC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AA9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07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DF27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EAA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A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86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CD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C8B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AC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67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4B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847C1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02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2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6C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EC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02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0C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E3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E5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3134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A8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E5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6A4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C5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CF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8F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B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26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3EE64E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E62C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02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E7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E6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124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CE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0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035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1F13"/>
    <w:rsid w:val="00036042"/>
    <w:rsid w:val="0008166F"/>
    <w:rsid w:val="00083BCA"/>
    <w:rsid w:val="000E1D42"/>
    <w:rsid w:val="00112DD5"/>
    <w:rsid w:val="00131536"/>
    <w:rsid w:val="00131D4C"/>
    <w:rsid w:val="00141ED4"/>
    <w:rsid w:val="00185707"/>
    <w:rsid w:val="001F481A"/>
    <w:rsid w:val="001F7A35"/>
    <w:rsid w:val="00214CBE"/>
    <w:rsid w:val="00233F72"/>
    <w:rsid w:val="00273880"/>
    <w:rsid w:val="00306598"/>
    <w:rsid w:val="00331D75"/>
    <w:rsid w:val="003406AE"/>
    <w:rsid w:val="00342878"/>
    <w:rsid w:val="003A4C3D"/>
    <w:rsid w:val="003E48AB"/>
    <w:rsid w:val="00415FF3"/>
    <w:rsid w:val="004453A8"/>
    <w:rsid w:val="0046441E"/>
    <w:rsid w:val="0046586B"/>
    <w:rsid w:val="00495EDF"/>
    <w:rsid w:val="004C50BB"/>
    <w:rsid w:val="005313ED"/>
    <w:rsid w:val="005711ED"/>
    <w:rsid w:val="0057171E"/>
    <w:rsid w:val="005A73AA"/>
    <w:rsid w:val="005F203A"/>
    <w:rsid w:val="006456D8"/>
    <w:rsid w:val="00652456"/>
    <w:rsid w:val="00684E06"/>
    <w:rsid w:val="006A3465"/>
    <w:rsid w:val="006C6987"/>
    <w:rsid w:val="006E3AED"/>
    <w:rsid w:val="006F13B9"/>
    <w:rsid w:val="00732EF5"/>
    <w:rsid w:val="00760B8D"/>
    <w:rsid w:val="007A164A"/>
    <w:rsid w:val="007B08F9"/>
    <w:rsid w:val="007B4428"/>
    <w:rsid w:val="0086637A"/>
    <w:rsid w:val="00883205"/>
    <w:rsid w:val="008C31E0"/>
    <w:rsid w:val="00927DFD"/>
    <w:rsid w:val="00933928"/>
    <w:rsid w:val="00937658"/>
    <w:rsid w:val="00963906"/>
    <w:rsid w:val="00974423"/>
    <w:rsid w:val="00980843"/>
    <w:rsid w:val="009869FE"/>
    <w:rsid w:val="009A412E"/>
    <w:rsid w:val="009C5043"/>
    <w:rsid w:val="009D2E80"/>
    <w:rsid w:val="009E3ADA"/>
    <w:rsid w:val="009E44F9"/>
    <w:rsid w:val="00A04FE9"/>
    <w:rsid w:val="00A43DC2"/>
    <w:rsid w:val="00A65FBD"/>
    <w:rsid w:val="00A7260A"/>
    <w:rsid w:val="00A72FFA"/>
    <w:rsid w:val="00AE1801"/>
    <w:rsid w:val="00AF4E5C"/>
    <w:rsid w:val="00B00CDC"/>
    <w:rsid w:val="00B42130"/>
    <w:rsid w:val="00B56C9E"/>
    <w:rsid w:val="00B90960"/>
    <w:rsid w:val="00B92622"/>
    <w:rsid w:val="00BC324C"/>
    <w:rsid w:val="00BE2E5E"/>
    <w:rsid w:val="00C31F61"/>
    <w:rsid w:val="00C52178"/>
    <w:rsid w:val="00C85312"/>
    <w:rsid w:val="00CC17DE"/>
    <w:rsid w:val="00CD4416"/>
    <w:rsid w:val="00CE4586"/>
    <w:rsid w:val="00CF5997"/>
    <w:rsid w:val="00D43565"/>
    <w:rsid w:val="00D508ED"/>
    <w:rsid w:val="00D908C9"/>
    <w:rsid w:val="00DA1E29"/>
    <w:rsid w:val="00DA6C18"/>
    <w:rsid w:val="00DC32CE"/>
    <w:rsid w:val="00E35856"/>
    <w:rsid w:val="00E83764"/>
    <w:rsid w:val="00EF40FA"/>
    <w:rsid w:val="00F128F6"/>
    <w:rsid w:val="00F13C29"/>
    <w:rsid w:val="00F444BE"/>
    <w:rsid w:val="00F5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AD32"/>
  <w15:docId w15:val="{2A59BCA6-C552-49D9-ADB2-00393332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E29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A1E29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DA1E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A1E29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A3465"/>
    <w:rPr>
      <w:sz w:val="22"/>
      <w:szCs w:val="22"/>
      <w:lang w:val="de-DE" w:eastAsia="en-US"/>
    </w:rPr>
  </w:style>
  <w:style w:type="paragraph" w:styleId="NoSpacing">
    <w:name w:val="No Spacing"/>
    <w:uiPriority w:val="1"/>
    <w:qFormat/>
    <w:rsid w:val="00DA1E2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03/02/8-security-practices-to-use-in-your-employee-training-and-awareness-program/" TargetMode="External"/><Relationship Id="rId1" Type="http://schemas.openxmlformats.org/officeDocument/2006/relationships/hyperlink" Target="https://advisera.com/27001academy/blog/2014/05/19/how-to-perform-training-awarenes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lan-fuer-trainings-und-awarenes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7C1FF-2D27-4257-BD0E-DB7EB2D8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für Training und Awareness</vt:lpstr>
      <vt:lpstr>Plan für Trainings und Awareness</vt:lpstr>
      <vt:lpstr>Training and Awareness Plan</vt:lpstr>
    </vt:vector>
  </TitlesOfParts>
  <Company>Advisera Expert Solutions Ltd</Company>
  <LinksUpToDate>false</LinksUpToDate>
  <CharactersWithSpaces>2059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für Training und Awareness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3</cp:revision>
  <dcterms:created xsi:type="dcterms:W3CDTF">2023-05-09T08:16:00Z</dcterms:created>
  <dcterms:modified xsi:type="dcterms:W3CDTF">2023-05-09T08:16:00Z</dcterms:modified>
</cp:coreProperties>
</file>