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60190B" w14:textId="6B51F991" w:rsidR="00BC6ED3" w:rsidRDefault="00086C45" w:rsidP="00967A62">
      <w:pPr>
        <w:rPr>
          <w:b/>
          <w:sz w:val="28"/>
          <w:lang w:val="fr-FR"/>
        </w:rPr>
      </w:pPr>
      <w:commentRangeStart w:id="0"/>
      <w:r w:rsidRPr="00D0654E">
        <w:rPr>
          <w:b/>
          <w:sz w:val="28"/>
          <w:lang w:val="fr-FR"/>
        </w:rPr>
        <w:t>A</w:t>
      </w:r>
      <w:r w:rsidR="00D0654E" w:rsidRPr="00D0654E">
        <w:rPr>
          <w:b/>
          <w:sz w:val="28"/>
          <w:lang w:val="fr-FR"/>
        </w:rPr>
        <w:t>nnexe</w:t>
      </w:r>
      <w:r w:rsidRPr="00D0654E">
        <w:rPr>
          <w:b/>
          <w:sz w:val="28"/>
          <w:lang w:val="fr-FR"/>
        </w:rPr>
        <w:t xml:space="preserve"> 1 – </w:t>
      </w:r>
      <w:r w:rsidR="0059132A" w:rsidRPr="00D0654E">
        <w:rPr>
          <w:b/>
          <w:sz w:val="28"/>
          <w:lang w:val="fr-FR"/>
        </w:rPr>
        <w:t>Matri</w:t>
      </w:r>
      <w:r w:rsidR="00D0654E" w:rsidRPr="00D0654E">
        <w:rPr>
          <w:b/>
          <w:sz w:val="28"/>
          <w:lang w:val="fr-FR"/>
        </w:rPr>
        <w:t>ce de la performance environnemental</w:t>
      </w:r>
      <w:r w:rsidR="0059132A" w:rsidRPr="00D0654E">
        <w:rPr>
          <w:b/>
          <w:sz w:val="28"/>
          <w:lang w:val="fr-FR"/>
        </w:rPr>
        <w:t>e</w:t>
      </w:r>
      <w:commentRangeEnd w:id="0"/>
      <w:r w:rsidR="003F3A9F" w:rsidRPr="00D0654E">
        <w:rPr>
          <w:rStyle w:val="Referencakomentara"/>
          <w:lang w:val="fr-FR"/>
        </w:rPr>
        <w:commentReference w:id="0"/>
      </w:r>
      <w:r w:rsidR="00F34728">
        <w:rPr>
          <w:b/>
          <w:sz w:val="28"/>
          <w:lang w:val="fr-FR"/>
        </w:rPr>
        <w:t xml:space="preserve"> </w:t>
      </w:r>
    </w:p>
    <w:p w14:paraId="42E01488" w14:textId="4DA69E2A" w:rsidR="00E25FBB" w:rsidRPr="007F3EBE" w:rsidRDefault="00E25FBB" w:rsidP="00E25FBB">
      <w:pPr>
        <w:jc w:val="center"/>
        <w:rPr>
          <w:rFonts w:asciiTheme="minorHAnsi" w:eastAsiaTheme="minorEastAsia" w:hAnsiTheme="minorHAnsi"/>
          <w:lang w:val="fr-FR" w:eastAsia="zh-CN"/>
        </w:rPr>
      </w:pPr>
      <w:r w:rsidRPr="007F3EBE">
        <w:rPr>
          <w:rFonts w:asciiTheme="minorHAnsi" w:eastAsiaTheme="minorEastAsia" w:hAnsiTheme="minorHAnsi"/>
          <w:lang w:val="fr-FR" w:eastAsia="zh-CN"/>
        </w:rPr>
        <w:t>** VERSION APERCU GRATUIT **</w:t>
      </w:r>
      <w:r w:rsidR="007F3EBE" w:rsidRPr="007F3EBE">
        <w:rPr>
          <w:rFonts w:asciiTheme="minorHAnsi" w:eastAsiaTheme="minorEastAsia" w:hAnsiTheme="minorHAnsi"/>
          <w:lang w:val="fr-FR" w:eastAsia="zh-CN"/>
        </w:rPr>
        <w:t xml:space="preserve"> </w:t>
      </w:r>
      <w:bookmarkStart w:id="1" w:name="_GoBack"/>
      <w:bookmarkEnd w:id="1"/>
    </w:p>
    <w:tbl>
      <w:tblPr>
        <w:tblStyle w:val="Reetkatablice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59"/>
        <w:gridCol w:w="1284"/>
        <w:gridCol w:w="1276"/>
        <w:gridCol w:w="1418"/>
        <w:gridCol w:w="1418"/>
        <w:gridCol w:w="1276"/>
        <w:gridCol w:w="1560"/>
        <w:gridCol w:w="1276"/>
        <w:gridCol w:w="1276"/>
        <w:gridCol w:w="1275"/>
        <w:gridCol w:w="1566"/>
      </w:tblGrid>
      <w:tr w:rsidR="00033C77" w:rsidRPr="00D0654E" w14:paraId="40228811" w14:textId="77777777" w:rsidTr="008B7540">
        <w:trPr>
          <w:trHeight w:val="628"/>
        </w:trPr>
        <w:tc>
          <w:tcPr>
            <w:tcW w:w="559" w:type="dxa"/>
            <w:vMerge w:val="restart"/>
            <w:shd w:val="clear" w:color="auto" w:fill="D9D9D9" w:themeFill="background1" w:themeFillShade="D9"/>
            <w:vAlign w:val="center"/>
          </w:tcPr>
          <w:p w14:paraId="44AD75D1" w14:textId="77777777" w:rsidR="00033C77" w:rsidRPr="00D0654E" w:rsidRDefault="00033C77" w:rsidP="00FD2D1C">
            <w:pPr>
              <w:spacing w:after="0"/>
              <w:rPr>
                <w:lang w:val="fr-FR"/>
              </w:rPr>
            </w:pPr>
            <w:r w:rsidRPr="00D0654E">
              <w:rPr>
                <w:lang w:val="fr-FR"/>
              </w:rPr>
              <w:t>No.</w:t>
            </w:r>
          </w:p>
        </w:tc>
        <w:tc>
          <w:tcPr>
            <w:tcW w:w="1284" w:type="dxa"/>
            <w:vMerge w:val="restart"/>
            <w:shd w:val="clear" w:color="auto" w:fill="D9D9D9" w:themeFill="background1" w:themeFillShade="D9"/>
            <w:vAlign w:val="center"/>
          </w:tcPr>
          <w:p w14:paraId="4D8D9CF4" w14:textId="77777777" w:rsidR="00033C77" w:rsidRPr="00D0654E" w:rsidRDefault="00033C77" w:rsidP="00FD2D1C">
            <w:pPr>
              <w:spacing w:after="0"/>
              <w:rPr>
                <w:lang w:val="fr-FR"/>
              </w:rPr>
            </w:pPr>
            <w:r w:rsidRPr="00D0654E">
              <w:rPr>
                <w:lang w:val="fr-FR"/>
              </w:rPr>
              <w:t>Process</w:t>
            </w:r>
            <w:r w:rsidR="00D0654E">
              <w:rPr>
                <w:lang w:val="fr-FR"/>
              </w:rPr>
              <w:t xml:space="preserve">us </w:t>
            </w:r>
            <w:r w:rsidRPr="00D0654E">
              <w:rPr>
                <w:lang w:val="fr-FR"/>
              </w:rPr>
              <w:t>/</w:t>
            </w:r>
            <w:r w:rsidR="00D0654E">
              <w:rPr>
                <w:lang w:val="fr-FR"/>
              </w:rPr>
              <w:t xml:space="preserve"> </w:t>
            </w:r>
            <w:r w:rsidRPr="00D0654E">
              <w:rPr>
                <w:lang w:val="fr-FR"/>
              </w:rPr>
              <w:t>Activit</w:t>
            </w:r>
            <w:r w:rsidR="0024530A">
              <w:rPr>
                <w:lang w:val="fr-FR"/>
              </w:rPr>
              <w:t>é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4CCB282A" w14:textId="46658BFE" w:rsidR="00033C77" w:rsidRPr="00D0654E" w:rsidRDefault="00E25FBB" w:rsidP="008037DE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14:paraId="28D09FD6" w14:textId="77777777" w:rsidR="00033C77" w:rsidRPr="00D0654E" w:rsidRDefault="00033C77" w:rsidP="00FD2D1C">
            <w:pPr>
              <w:spacing w:after="0"/>
              <w:rPr>
                <w:lang w:val="fr-FR"/>
              </w:rPr>
            </w:pPr>
            <w:r w:rsidRPr="00D0654E">
              <w:rPr>
                <w:lang w:val="fr-FR"/>
              </w:rPr>
              <w:t>Indicat</w:t>
            </w:r>
            <w:r w:rsidR="0024530A">
              <w:rPr>
                <w:lang w:val="fr-FR"/>
              </w:rPr>
              <w:t>eur</w:t>
            </w:r>
            <w:r w:rsidRPr="00D0654E">
              <w:rPr>
                <w:lang w:val="fr-FR"/>
              </w:rPr>
              <w:t xml:space="preserve"> (</w:t>
            </w:r>
            <w:r w:rsidR="0024530A">
              <w:rPr>
                <w:lang w:val="fr-FR"/>
              </w:rPr>
              <w:t>unité de mesure</w:t>
            </w:r>
            <w:r w:rsidRPr="00D0654E">
              <w:rPr>
                <w:lang w:val="fr-FR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14:paraId="6690A0A4" w14:textId="790746E1" w:rsidR="00033C77" w:rsidRPr="00D0654E" w:rsidRDefault="00E25FBB" w:rsidP="00FD2D1C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556FB3DB" w14:textId="77777777" w:rsidR="00033C77" w:rsidRPr="00D0654E" w:rsidRDefault="0024530A" w:rsidP="008037DE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Enregistrement de référence de l’indicateur mesuré</w:t>
            </w:r>
            <w:r w:rsidR="002C1817" w:rsidRPr="00D0654E">
              <w:rPr>
                <w:lang w:val="fr-FR"/>
              </w:rPr>
              <w:t xml:space="preserve"> 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14:paraId="3953B133" w14:textId="51816DC7" w:rsidR="00033C77" w:rsidRPr="00D0654E" w:rsidRDefault="00E25FBB" w:rsidP="008567CC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5AC1C6CB" w14:textId="77777777" w:rsidR="00033C77" w:rsidRPr="00D0654E" w:rsidRDefault="0024530A" w:rsidP="00FD2D1C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Fréquence de la mesure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56F44EB5" w14:textId="01E255C7" w:rsidR="00033C77" w:rsidRPr="00D0654E" w:rsidRDefault="00E25FBB" w:rsidP="00FD2D1C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2841" w:type="dxa"/>
            <w:gridSpan w:val="2"/>
            <w:shd w:val="clear" w:color="auto" w:fill="D9D9D9" w:themeFill="background1" w:themeFillShade="D9"/>
            <w:vAlign w:val="center"/>
          </w:tcPr>
          <w:p w14:paraId="757C6458" w14:textId="77777777" w:rsidR="00033C77" w:rsidRPr="00D0654E" w:rsidRDefault="00033C77" w:rsidP="005326C3">
            <w:pPr>
              <w:spacing w:after="0"/>
              <w:rPr>
                <w:lang w:val="fr-FR"/>
              </w:rPr>
            </w:pPr>
            <w:commentRangeStart w:id="2"/>
            <w:r w:rsidRPr="00D0654E">
              <w:rPr>
                <w:lang w:val="fr-FR"/>
              </w:rPr>
              <w:t xml:space="preserve"> </w:t>
            </w:r>
            <w:r w:rsidR="0024530A">
              <w:rPr>
                <w:lang w:val="fr-FR"/>
              </w:rPr>
              <w:t>Indicateurs E</w:t>
            </w:r>
            <w:r w:rsidRPr="00D0654E">
              <w:rPr>
                <w:lang w:val="fr-FR"/>
              </w:rPr>
              <w:t>P</w:t>
            </w:r>
            <w:r w:rsidR="0024530A">
              <w:rPr>
                <w:lang w:val="fr-FR"/>
              </w:rPr>
              <w:t>E</w:t>
            </w:r>
            <w:commentRangeEnd w:id="2"/>
            <w:r w:rsidRPr="00D0654E">
              <w:rPr>
                <w:rStyle w:val="Referencakomentara"/>
                <w:lang w:val="fr-FR"/>
              </w:rPr>
              <w:commentReference w:id="2"/>
            </w:r>
          </w:p>
        </w:tc>
      </w:tr>
      <w:tr w:rsidR="00FD2D1C" w:rsidRPr="00D0654E" w14:paraId="2741E805" w14:textId="77777777" w:rsidTr="00FD2D1C">
        <w:tc>
          <w:tcPr>
            <w:tcW w:w="559" w:type="dxa"/>
            <w:vMerge/>
          </w:tcPr>
          <w:p w14:paraId="07CAD703" w14:textId="77777777" w:rsidR="00FD2D1C" w:rsidRPr="00D0654E" w:rsidRDefault="00FD2D1C" w:rsidP="00FD2D1C">
            <w:pPr>
              <w:spacing w:after="0"/>
              <w:rPr>
                <w:lang w:val="fr-FR"/>
              </w:rPr>
            </w:pPr>
          </w:p>
        </w:tc>
        <w:tc>
          <w:tcPr>
            <w:tcW w:w="1284" w:type="dxa"/>
            <w:vMerge/>
            <w:vAlign w:val="center"/>
          </w:tcPr>
          <w:p w14:paraId="0BA7319C" w14:textId="77777777" w:rsidR="00FD2D1C" w:rsidRPr="00D0654E" w:rsidRDefault="00FD2D1C" w:rsidP="00FD2D1C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  <w:vMerge/>
          </w:tcPr>
          <w:p w14:paraId="2826E4E5" w14:textId="77777777" w:rsidR="00FD2D1C" w:rsidRPr="00D0654E" w:rsidRDefault="00FD2D1C" w:rsidP="00FD2D1C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</w:tcPr>
          <w:p w14:paraId="7727FA02" w14:textId="77777777" w:rsidR="00FD2D1C" w:rsidRPr="00D0654E" w:rsidRDefault="00FD2D1C" w:rsidP="00FD2D1C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</w:tcPr>
          <w:p w14:paraId="53AF103E" w14:textId="77777777" w:rsidR="00FD2D1C" w:rsidRPr="00D0654E" w:rsidRDefault="00FD2D1C" w:rsidP="00FD2D1C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14:paraId="7E0EFB8D" w14:textId="77777777" w:rsidR="00FD2D1C" w:rsidRPr="00D0654E" w:rsidRDefault="00FD2D1C" w:rsidP="00FD2D1C">
            <w:pPr>
              <w:spacing w:after="0"/>
              <w:rPr>
                <w:lang w:val="fr-FR"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14:paraId="1FD5590B" w14:textId="77777777" w:rsidR="00FD2D1C" w:rsidRPr="00D0654E" w:rsidRDefault="00FD2D1C" w:rsidP="00FD2D1C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14:paraId="56C5C88C" w14:textId="77777777" w:rsidR="00FD2D1C" w:rsidRPr="00D0654E" w:rsidRDefault="00FD2D1C" w:rsidP="00FD2D1C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14:paraId="7CAB7C9F" w14:textId="77777777" w:rsidR="00FD2D1C" w:rsidRPr="00D0654E" w:rsidRDefault="00FD2D1C" w:rsidP="00FD2D1C">
            <w:pPr>
              <w:spacing w:after="0"/>
              <w:rPr>
                <w:lang w:val="fr-FR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14:paraId="6DD03299" w14:textId="14AB9885" w:rsidR="00033C77" w:rsidRPr="00D0654E" w:rsidRDefault="00E25FBB" w:rsidP="00FD2D1C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566" w:type="dxa"/>
            <w:shd w:val="clear" w:color="auto" w:fill="D9D9D9" w:themeFill="background1" w:themeFillShade="D9"/>
          </w:tcPr>
          <w:p w14:paraId="0706B45C" w14:textId="6FCE1A33" w:rsidR="00033C77" w:rsidRPr="00D0654E" w:rsidRDefault="00E25FBB" w:rsidP="00FD2D1C">
            <w:pPr>
              <w:tabs>
                <w:tab w:val="center" w:pos="672"/>
              </w:tabs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6C67A5" w:rsidRPr="00D0654E" w14:paraId="184C4955" w14:textId="77777777" w:rsidTr="00FD2D1C">
        <w:tc>
          <w:tcPr>
            <w:tcW w:w="559" w:type="dxa"/>
            <w:vMerge w:val="restart"/>
            <w:vAlign w:val="center"/>
          </w:tcPr>
          <w:p w14:paraId="266EBCF1" w14:textId="77777777" w:rsidR="006C67A5" w:rsidRPr="00D0654E" w:rsidRDefault="006C67A5" w:rsidP="000A4E5D">
            <w:pPr>
              <w:spacing w:after="0"/>
              <w:jc w:val="center"/>
              <w:rPr>
                <w:lang w:val="fr-FR"/>
              </w:rPr>
            </w:pPr>
            <w:r w:rsidRPr="00D0654E">
              <w:rPr>
                <w:lang w:val="fr-FR"/>
              </w:rPr>
              <w:t>1.</w:t>
            </w:r>
          </w:p>
        </w:tc>
        <w:tc>
          <w:tcPr>
            <w:tcW w:w="1284" w:type="dxa"/>
            <w:vMerge w:val="restart"/>
            <w:vAlign w:val="center"/>
          </w:tcPr>
          <w:p w14:paraId="01533B14" w14:textId="77777777" w:rsidR="006C67A5" w:rsidRPr="00D0654E" w:rsidRDefault="00034443" w:rsidP="00B640EE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Production d’asphalte</w:t>
            </w:r>
          </w:p>
        </w:tc>
        <w:tc>
          <w:tcPr>
            <w:tcW w:w="1276" w:type="dxa"/>
          </w:tcPr>
          <w:p w14:paraId="710E135A" w14:textId="40A84033" w:rsidR="006C67A5" w:rsidRPr="00D0654E" w:rsidRDefault="00E25FBB" w:rsidP="00BA325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418" w:type="dxa"/>
          </w:tcPr>
          <w:p w14:paraId="44096087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  <w:r w:rsidRPr="00D0654E">
              <w:rPr>
                <w:lang w:val="fr-FR"/>
              </w:rPr>
              <w:t>to</w:t>
            </w:r>
            <w:r w:rsidR="00034443">
              <w:rPr>
                <w:lang w:val="fr-FR"/>
              </w:rPr>
              <w:t>nne</w:t>
            </w:r>
          </w:p>
        </w:tc>
        <w:tc>
          <w:tcPr>
            <w:tcW w:w="1418" w:type="dxa"/>
          </w:tcPr>
          <w:p w14:paraId="36C8F196" w14:textId="160287A2" w:rsidR="006C67A5" w:rsidRPr="00D0654E" w:rsidRDefault="00E25FBB" w:rsidP="00BA325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276" w:type="dxa"/>
          </w:tcPr>
          <w:p w14:paraId="55E8D976" w14:textId="77777777" w:rsidR="006C67A5" w:rsidRPr="00D0654E" w:rsidRDefault="00034443" w:rsidP="006C67A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Mesure d’enregistrement d’émission de</w:t>
            </w:r>
            <w:r w:rsidR="008037DE" w:rsidRPr="00D0654E">
              <w:rPr>
                <w:lang w:val="fr-FR"/>
              </w:rPr>
              <w:t xml:space="preserve"> CO</w:t>
            </w:r>
            <w:r w:rsidR="008037DE" w:rsidRPr="00D0654E">
              <w:rPr>
                <w:vertAlign w:val="subscript"/>
                <w:lang w:val="fr-FR"/>
              </w:rPr>
              <w:t>2</w:t>
            </w:r>
          </w:p>
        </w:tc>
        <w:tc>
          <w:tcPr>
            <w:tcW w:w="1560" w:type="dxa"/>
          </w:tcPr>
          <w:p w14:paraId="60EB7921" w14:textId="1DCFF0BB" w:rsidR="006C67A5" w:rsidRPr="00D0654E" w:rsidRDefault="00E25FBB" w:rsidP="00BA325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276" w:type="dxa"/>
          </w:tcPr>
          <w:p w14:paraId="4492CB18" w14:textId="77777777" w:rsidR="006C67A5" w:rsidRPr="00D0654E" w:rsidRDefault="00034443" w:rsidP="006C67A5">
            <w:pPr>
              <w:spacing w:after="0"/>
              <w:rPr>
                <w:lang w:val="fr-FR"/>
              </w:rPr>
            </w:pPr>
            <w:commentRangeStart w:id="3"/>
            <w:r>
              <w:rPr>
                <w:lang w:val="fr-FR"/>
              </w:rPr>
              <w:t>Trimestriel</w:t>
            </w:r>
            <w:commentRangeEnd w:id="3"/>
            <w:r w:rsidR="005326C3" w:rsidRPr="00D0654E">
              <w:rPr>
                <w:rStyle w:val="Referencakomentara"/>
                <w:lang w:val="fr-FR"/>
              </w:rPr>
              <w:commentReference w:id="3"/>
            </w:r>
          </w:p>
        </w:tc>
        <w:tc>
          <w:tcPr>
            <w:tcW w:w="1276" w:type="dxa"/>
            <w:shd w:val="clear" w:color="auto" w:fill="FFFFFF" w:themeFill="background1"/>
          </w:tcPr>
          <w:p w14:paraId="4E8624F8" w14:textId="61FD085C" w:rsidR="006C67A5" w:rsidRPr="00D0654E" w:rsidRDefault="00E25FBB" w:rsidP="006C67A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275" w:type="dxa"/>
            <w:shd w:val="clear" w:color="auto" w:fill="FFFFFF" w:themeFill="background1"/>
          </w:tcPr>
          <w:p w14:paraId="0B45225A" w14:textId="40BB8E7A" w:rsidR="006C67A5" w:rsidRPr="00D0654E" w:rsidRDefault="00E25FBB" w:rsidP="006C67A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566" w:type="dxa"/>
            <w:shd w:val="clear" w:color="auto" w:fill="FFFFFF" w:themeFill="background1"/>
          </w:tcPr>
          <w:p w14:paraId="76438B84" w14:textId="77777777" w:rsidR="006C67A5" w:rsidRPr="00D0654E" w:rsidRDefault="006C67A5" w:rsidP="008D6E04">
            <w:pPr>
              <w:spacing w:after="0"/>
              <w:rPr>
                <w:lang w:val="fr-FR"/>
              </w:rPr>
            </w:pPr>
          </w:p>
        </w:tc>
      </w:tr>
      <w:tr w:rsidR="006C67A5" w:rsidRPr="00D0654E" w14:paraId="71D93F62" w14:textId="77777777" w:rsidTr="00FD2D1C">
        <w:tc>
          <w:tcPr>
            <w:tcW w:w="559" w:type="dxa"/>
            <w:vMerge/>
            <w:vAlign w:val="center"/>
          </w:tcPr>
          <w:p w14:paraId="41A5F774" w14:textId="77777777" w:rsidR="006C67A5" w:rsidRPr="00D0654E" w:rsidRDefault="006C67A5" w:rsidP="000A4E5D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284" w:type="dxa"/>
            <w:vMerge/>
            <w:vAlign w:val="center"/>
          </w:tcPr>
          <w:p w14:paraId="1712F21D" w14:textId="77777777" w:rsidR="006C67A5" w:rsidRPr="00D0654E" w:rsidRDefault="006C67A5" w:rsidP="00B640EE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4CDEF543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2073E40F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1900C953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4E383FA1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0" w:type="dxa"/>
          </w:tcPr>
          <w:p w14:paraId="5EEDF275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697B4CB7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A3AFCFF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0408876D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14:paraId="56400A55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</w:tr>
      <w:tr w:rsidR="006C67A5" w:rsidRPr="00D0654E" w14:paraId="1D437EB9" w14:textId="77777777" w:rsidTr="00FD2D1C">
        <w:tc>
          <w:tcPr>
            <w:tcW w:w="559" w:type="dxa"/>
            <w:vMerge/>
            <w:vAlign w:val="center"/>
          </w:tcPr>
          <w:p w14:paraId="36619102" w14:textId="77777777" w:rsidR="006C67A5" w:rsidRPr="00D0654E" w:rsidRDefault="006C67A5" w:rsidP="000A4E5D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284" w:type="dxa"/>
            <w:vMerge/>
            <w:vAlign w:val="center"/>
          </w:tcPr>
          <w:p w14:paraId="5804BDAF" w14:textId="77777777" w:rsidR="006C67A5" w:rsidRPr="00D0654E" w:rsidRDefault="006C67A5" w:rsidP="00B640EE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48EDD91C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67AEEEA5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3D062A3A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308EB755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0" w:type="dxa"/>
          </w:tcPr>
          <w:p w14:paraId="6E1BFD8F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42DB544E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33E09D4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2E0BED86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14:paraId="1AA3E98D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</w:tr>
      <w:tr w:rsidR="006C67A5" w:rsidRPr="00D0654E" w14:paraId="19638E09" w14:textId="77777777" w:rsidTr="00FD2D1C">
        <w:tc>
          <w:tcPr>
            <w:tcW w:w="559" w:type="dxa"/>
            <w:vMerge w:val="restart"/>
            <w:vAlign w:val="center"/>
          </w:tcPr>
          <w:p w14:paraId="41613109" w14:textId="77777777" w:rsidR="006C67A5" w:rsidRPr="00D0654E" w:rsidRDefault="006C67A5" w:rsidP="000A4E5D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284" w:type="dxa"/>
            <w:vMerge w:val="restart"/>
            <w:vAlign w:val="center"/>
          </w:tcPr>
          <w:p w14:paraId="48A2F817" w14:textId="77777777" w:rsidR="006C67A5" w:rsidRPr="00D0654E" w:rsidRDefault="006C67A5" w:rsidP="00B640EE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2F1471AF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3E5A0C8F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1FA09674" w14:textId="77777777" w:rsidR="006C67A5" w:rsidRPr="00D0654E" w:rsidRDefault="006C67A5" w:rsidP="00433B0B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6EB8A512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0" w:type="dxa"/>
          </w:tcPr>
          <w:p w14:paraId="3CA1A7F0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20B47A88" w14:textId="77777777" w:rsidR="006C67A5" w:rsidRPr="00D0654E" w:rsidRDefault="006C67A5" w:rsidP="00E35D26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6CD6CCD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51D3D38E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14:paraId="4667DBAE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</w:tr>
      <w:tr w:rsidR="006C67A5" w:rsidRPr="00D0654E" w14:paraId="6F066720" w14:textId="77777777" w:rsidTr="00FD2D1C">
        <w:tc>
          <w:tcPr>
            <w:tcW w:w="559" w:type="dxa"/>
            <w:vMerge/>
            <w:vAlign w:val="center"/>
          </w:tcPr>
          <w:p w14:paraId="1B4CB15C" w14:textId="77777777" w:rsidR="006C67A5" w:rsidRPr="00D0654E" w:rsidRDefault="006C67A5" w:rsidP="000A4E5D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284" w:type="dxa"/>
            <w:vMerge/>
            <w:vAlign w:val="center"/>
          </w:tcPr>
          <w:p w14:paraId="683CD1D6" w14:textId="77777777" w:rsidR="006C67A5" w:rsidRPr="00D0654E" w:rsidRDefault="006C67A5" w:rsidP="00B640EE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004B0086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585FB8DE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6B441296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2D89E8F9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0" w:type="dxa"/>
          </w:tcPr>
          <w:p w14:paraId="1EBB6244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15B57AF6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E3AE1F1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63FACBB1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14:paraId="276529EE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</w:tr>
      <w:tr w:rsidR="006C67A5" w:rsidRPr="00D0654E" w14:paraId="7723F0F2" w14:textId="77777777" w:rsidTr="00FD2D1C">
        <w:tc>
          <w:tcPr>
            <w:tcW w:w="559" w:type="dxa"/>
            <w:vMerge/>
            <w:vAlign w:val="center"/>
          </w:tcPr>
          <w:p w14:paraId="63AF2465" w14:textId="77777777" w:rsidR="006C67A5" w:rsidRPr="00D0654E" w:rsidRDefault="006C67A5" w:rsidP="000A4E5D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284" w:type="dxa"/>
            <w:vMerge/>
            <w:vAlign w:val="center"/>
          </w:tcPr>
          <w:p w14:paraId="51141493" w14:textId="77777777" w:rsidR="006C67A5" w:rsidRPr="00D0654E" w:rsidRDefault="006C67A5" w:rsidP="00B640EE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0A663C19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0F1C45C1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4AACB935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5F49F3A7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0" w:type="dxa"/>
          </w:tcPr>
          <w:p w14:paraId="33153FDC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513FADDE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2FDFA6A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347C630A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14:paraId="22F048C2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</w:tr>
      <w:tr w:rsidR="006C67A5" w:rsidRPr="00D0654E" w14:paraId="5180A6BB" w14:textId="77777777" w:rsidTr="00FD2D1C">
        <w:tc>
          <w:tcPr>
            <w:tcW w:w="559" w:type="dxa"/>
            <w:vMerge w:val="restart"/>
            <w:vAlign w:val="center"/>
          </w:tcPr>
          <w:p w14:paraId="38DF7624" w14:textId="77777777" w:rsidR="006C67A5" w:rsidRPr="00D0654E" w:rsidRDefault="006C67A5" w:rsidP="000A4E5D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284" w:type="dxa"/>
            <w:vMerge w:val="restart"/>
            <w:vAlign w:val="center"/>
          </w:tcPr>
          <w:p w14:paraId="6FC4113A" w14:textId="77777777" w:rsidR="006C67A5" w:rsidRPr="00D0654E" w:rsidRDefault="006C67A5" w:rsidP="00B640EE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4FD5C938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57953997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12CF444E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347C0DC6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0" w:type="dxa"/>
          </w:tcPr>
          <w:p w14:paraId="16292991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442C61D6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5B2377D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5107B410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14:paraId="2F93BB2E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</w:tr>
      <w:tr w:rsidR="006C67A5" w:rsidRPr="00D0654E" w14:paraId="412250B7" w14:textId="77777777" w:rsidTr="00FD2D1C">
        <w:tc>
          <w:tcPr>
            <w:tcW w:w="559" w:type="dxa"/>
            <w:vMerge/>
            <w:vAlign w:val="center"/>
          </w:tcPr>
          <w:p w14:paraId="4F8937AA" w14:textId="77777777" w:rsidR="006C67A5" w:rsidRPr="00D0654E" w:rsidRDefault="006C67A5" w:rsidP="000A4E5D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284" w:type="dxa"/>
            <w:vMerge/>
            <w:vAlign w:val="center"/>
          </w:tcPr>
          <w:p w14:paraId="5E294587" w14:textId="77777777" w:rsidR="006C67A5" w:rsidRPr="00D0654E" w:rsidRDefault="006C67A5" w:rsidP="00B640EE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705D44E6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45292B3C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576C640D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74473CF5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0" w:type="dxa"/>
          </w:tcPr>
          <w:p w14:paraId="6BFA74F8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02663294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5AEFB35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44E7F6E0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14:paraId="11F6B8F5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</w:tr>
      <w:tr w:rsidR="006C67A5" w:rsidRPr="00D0654E" w14:paraId="55BB5FA6" w14:textId="77777777" w:rsidTr="00FD2D1C">
        <w:tc>
          <w:tcPr>
            <w:tcW w:w="559" w:type="dxa"/>
            <w:vMerge/>
            <w:vAlign w:val="center"/>
          </w:tcPr>
          <w:p w14:paraId="5C7F61C8" w14:textId="77777777" w:rsidR="006C67A5" w:rsidRPr="00D0654E" w:rsidRDefault="006C67A5" w:rsidP="000A4E5D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284" w:type="dxa"/>
            <w:vMerge/>
            <w:vAlign w:val="center"/>
          </w:tcPr>
          <w:p w14:paraId="1DD725AD" w14:textId="77777777" w:rsidR="006C67A5" w:rsidRPr="00D0654E" w:rsidRDefault="006C67A5" w:rsidP="00B640EE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61CD2687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164BEA3A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79657D19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457D139B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0" w:type="dxa"/>
          </w:tcPr>
          <w:p w14:paraId="6A65EDF5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6366C93C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942FEF3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1A3BAFA8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14:paraId="7ECE91C6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</w:tr>
      <w:tr w:rsidR="006C67A5" w:rsidRPr="00D0654E" w14:paraId="57C6A926" w14:textId="77777777" w:rsidTr="00FD2D1C">
        <w:tc>
          <w:tcPr>
            <w:tcW w:w="559" w:type="dxa"/>
            <w:vMerge w:val="restart"/>
            <w:vAlign w:val="center"/>
          </w:tcPr>
          <w:p w14:paraId="105153ED" w14:textId="77777777" w:rsidR="006C67A5" w:rsidRPr="00D0654E" w:rsidRDefault="006C67A5" w:rsidP="000A4E5D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284" w:type="dxa"/>
            <w:vMerge w:val="restart"/>
            <w:vAlign w:val="center"/>
          </w:tcPr>
          <w:p w14:paraId="1B0D5ECD" w14:textId="77777777" w:rsidR="006C67A5" w:rsidRPr="00D0654E" w:rsidRDefault="006C67A5" w:rsidP="00B640EE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6AFA9EAF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2BA692F7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3060DD15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0F0E2FD2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0" w:type="dxa"/>
          </w:tcPr>
          <w:p w14:paraId="2E4D3FD1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6495F510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7E7533B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3070F845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14:paraId="78F12FE0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</w:tr>
      <w:tr w:rsidR="006C67A5" w:rsidRPr="00D0654E" w14:paraId="02A940D2" w14:textId="77777777" w:rsidTr="00FD2D1C">
        <w:tc>
          <w:tcPr>
            <w:tcW w:w="559" w:type="dxa"/>
            <w:vMerge/>
          </w:tcPr>
          <w:p w14:paraId="7B53EB8C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84" w:type="dxa"/>
            <w:vMerge/>
          </w:tcPr>
          <w:p w14:paraId="5D804468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1CCD2F03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069148C8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0EA1C719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6F5FC486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0" w:type="dxa"/>
          </w:tcPr>
          <w:p w14:paraId="48033C98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3F386D0F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2BCAA1E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4AD740A7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14:paraId="3ED814F8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</w:tr>
      <w:tr w:rsidR="006C67A5" w:rsidRPr="00D0654E" w14:paraId="2FBBAC7D" w14:textId="77777777" w:rsidTr="00FD2D1C">
        <w:tc>
          <w:tcPr>
            <w:tcW w:w="559" w:type="dxa"/>
            <w:vMerge/>
          </w:tcPr>
          <w:p w14:paraId="322859C8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84" w:type="dxa"/>
            <w:vMerge/>
          </w:tcPr>
          <w:p w14:paraId="51092EEA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6859AF02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539BBE0F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18D73997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13C91E2A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0" w:type="dxa"/>
          </w:tcPr>
          <w:p w14:paraId="2596EF9A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2A729F38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A52EAA2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2A0000AD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14:paraId="5D26ACAF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</w:tr>
    </w:tbl>
    <w:p w14:paraId="4DD4F500" w14:textId="77777777" w:rsidR="00BA3255" w:rsidRPr="00D0654E" w:rsidRDefault="00BA3255" w:rsidP="00BA3255">
      <w:pPr>
        <w:spacing w:after="0"/>
        <w:rPr>
          <w:lang w:val="fr-FR"/>
        </w:rPr>
      </w:pPr>
    </w:p>
    <w:p w14:paraId="069D2729" w14:textId="68824EA7" w:rsidR="00BC6ED3" w:rsidRDefault="00BC6ED3" w:rsidP="007731F8">
      <w:pPr>
        <w:spacing w:after="0"/>
        <w:rPr>
          <w:lang w:val="fr-FR"/>
        </w:rPr>
      </w:pPr>
    </w:p>
    <w:p w14:paraId="6A104CAF" w14:textId="1C568144" w:rsidR="00E25FBB" w:rsidRDefault="00E25FBB" w:rsidP="007731F8">
      <w:pPr>
        <w:spacing w:after="0"/>
        <w:rPr>
          <w:lang w:val="fr-FR"/>
        </w:rPr>
      </w:pPr>
    </w:p>
    <w:p w14:paraId="5563F914" w14:textId="77777777" w:rsidR="00E25FBB" w:rsidRDefault="00E25FBB" w:rsidP="00E25FBB">
      <w:pPr>
        <w:jc w:val="center"/>
      </w:pPr>
      <w:r w:rsidRPr="0032144A">
        <w:t>** FIN DE L'APERCU GRATUIT **</w:t>
      </w:r>
    </w:p>
    <w:p w14:paraId="3DA9CBF8" w14:textId="73833A46" w:rsidR="00E25FBB" w:rsidRPr="00E25FBB" w:rsidRDefault="00E25FBB" w:rsidP="00E25FBB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2144A">
          <w:rPr>
            <w:rStyle w:val="Hiperveza"/>
            <w:lang w:val="fr-FR"/>
          </w:rPr>
          <w:t>http://advisera.com</w:t>
        </w:r>
        <w:r w:rsidR="003D316F" w:rsidRPr="003D316F">
          <w:rPr>
            <w:rStyle w:val="Hiperveza"/>
            <w:lang w:val="fr-FR"/>
          </w:rPr>
          <w:t>/14001academy/fr/documentation/matrice-de-la-performance-environnementale/</w:t>
        </w:r>
      </w:hyperlink>
      <w:r w:rsidR="003D316F">
        <w:rPr>
          <w:rStyle w:val="Hiperveza"/>
          <w:lang w:val="fr-FR"/>
        </w:rPr>
        <w:t xml:space="preserve"> </w:t>
      </w:r>
      <w:r w:rsidRPr="0032144A">
        <w:rPr>
          <w:lang w:val="fr-FR"/>
        </w:rPr>
        <w:br/>
      </w:r>
    </w:p>
    <w:sectPr w:rsidR="00E25FBB" w:rsidRPr="00E25FBB" w:rsidSect="00967A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5-07-30T11:15:00Z" w:initials="14A">
    <w:p w14:paraId="2D793055" w14:textId="77777777" w:rsidR="003F3A9F" w:rsidRPr="00D0654E" w:rsidRDefault="003F3A9F" w:rsidP="00DC285F">
      <w:pPr>
        <w:rPr>
          <w:lang w:val="fr-FR"/>
        </w:rPr>
      </w:pPr>
      <w:r>
        <w:rPr>
          <w:rStyle w:val="Referencakomentara"/>
        </w:rPr>
        <w:annotationRef/>
      </w:r>
      <w:r w:rsidR="00D0654E" w:rsidRPr="00D0654E">
        <w:rPr>
          <w:lang w:val="fr-FR"/>
        </w:rPr>
        <w:t>Si vous souhaitez avoir plus d’informations sur comment mesurer la performanc</w:t>
      </w:r>
      <w:r w:rsidR="00D0654E">
        <w:rPr>
          <w:lang w:val="fr-FR"/>
        </w:rPr>
        <w:t xml:space="preserve">e </w:t>
      </w:r>
      <w:r w:rsidR="00D0654E" w:rsidRPr="00D0654E">
        <w:rPr>
          <w:lang w:val="fr-FR"/>
        </w:rPr>
        <w:t>environnementale, voir</w:t>
      </w:r>
      <w:r w:rsidRPr="00D0654E">
        <w:rPr>
          <w:lang w:val="fr-FR"/>
        </w:rPr>
        <w:t xml:space="preserve">: </w:t>
      </w:r>
      <w:r w:rsidR="00F10E78" w:rsidRPr="00D0654E">
        <w:rPr>
          <w:lang w:val="fr-FR"/>
        </w:rPr>
        <w:t>E</w:t>
      </w:r>
      <w:r w:rsidR="00D0654E">
        <w:rPr>
          <w:lang w:val="fr-FR"/>
        </w:rPr>
        <w:t>valuation de la performance environnementale</w:t>
      </w:r>
      <w:r w:rsidR="00F10E78" w:rsidRPr="00D0654E">
        <w:rPr>
          <w:lang w:val="fr-FR"/>
        </w:rPr>
        <w:t xml:space="preserve"> </w:t>
      </w:r>
      <w:hyperlink r:id="rId1" w:history="1">
        <w:r w:rsidRPr="00D0654E">
          <w:rPr>
            <w:rStyle w:val="Hiperveza"/>
            <w:color w:val="000000" w:themeColor="text1"/>
            <w:lang w:val="fr-FR"/>
          </w:rPr>
          <w:t>http://advisera.com/14001academy/blog/2015/07/06/environmental-performance-evaluation/</w:t>
        </w:r>
      </w:hyperlink>
      <w:r w:rsidRPr="00D0654E">
        <w:rPr>
          <w:lang w:val="fr-FR"/>
        </w:rPr>
        <w:t xml:space="preserve"> </w:t>
      </w:r>
    </w:p>
  </w:comment>
  <w:comment w:id="2" w:author="14001Academy" w:date="2014-11-17T01:31:00Z" w:initials="14A">
    <w:p w14:paraId="1D3FF08B" w14:textId="77777777" w:rsidR="00033C77" w:rsidRPr="00D0654E" w:rsidRDefault="00033C77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D0654E">
        <w:rPr>
          <w:lang w:val="fr-FR"/>
        </w:rPr>
        <w:t xml:space="preserve">EPE </w:t>
      </w:r>
      <w:r w:rsidR="005326C3" w:rsidRPr="00D0654E">
        <w:rPr>
          <w:lang w:val="fr-FR"/>
        </w:rPr>
        <w:t>–</w:t>
      </w:r>
      <w:r w:rsidRPr="00D0654E">
        <w:rPr>
          <w:lang w:val="fr-FR"/>
        </w:rPr>
        <w:t xml:space="preserve"> </w:t>
      </w:r>
      <w:r w:rsidR="005326C3" w:rsidRPr="00D0654E">
        <w:rPr>
          <w:lang w:val="fr-FR"/>
        </w:rPr>
        <w:t>E</w:t>
      </w:r>
      <w:r w:rsidR="00D0654E" w:rsidRPr="00D0654E">
        <w:rPr>
          <w:lang w:val="fr-FR"/>
        </w:rPr>
        <w:t xml:space="preserve">valuation de la performance </w:t>
      </w:r>
      <w:r w:rsidR="00D0654E">
        <w:rPr>
          <w:lang w:val="fr-FR"/>
        </w:rPr>
        <w:t>environnementale</w:t>
      </w:r>
    </w:p>
  </w:comment>
  <w:comment w:id="3" w:author="14001Academy" w:date="2014-11-25T21:35:00Z" w:initials="14A">
    <w:p w14:paraId="4718612D" w14:textId="77777777" w:rsidR="005326C3" w:rsidRPr="00D0654E" w:rsidRDefault="005326C3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D0654E">
        <w:rPr>
          <w:lang w:val="fr-FR"/>
        </w:rPr>
        <w:t>Adapt</w:t>
      </w:r>
      <w:r w:rsidR="00D0654E" w:rsidRPr="00D0654E">
        <w:rPr>
          <w:lang w:val="fr-FR"/>
        </w:rPr>
        <w:t>ez à la nature de l’indicateur</w:t>
      </w:r>
      <w:r w:rsidR="008567CC" w:rsidRPr="00D0654E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D793055" w15:done="0"/>
  <w15:commentEx w15:paraId="1D3FF08B" w15:done="0"/>
  <w15:commentEx w15:paraId="4718612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807803" w14:textId="77777777" w:rsidR="003C1DB0" w:rsidRDefault="003C1DB0" w:rsidP="00BC6ED3">
      <w:pPr>
        <w:spacing w:after="0" w:line="240" w:lineRule="auto"/>
      </w:pPr>
      <w:r>
        <w:separator/>
      </w:r>
    </w:p>
  </w:endnote>
  <w:endnote w:type="continuationSeparator" w:id="0">
    <w:p w14:paraId="4920258B" w14:textId="77777777" w:rsidR="003C1DB0" w:rsidRDefault="003C1DB0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BDB00" w14:textId="77777777" w:rsidR="00F1269D" w:rsidRDefault="00F1269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BC6ED3" w:rsidRPr="000C386B" w14:paraId="0C30D9D6" w14:textId="77777777" w:rsidTr="00967A62">
      <w:tc>
        <w:tcPr>
          <w:tcW w:w="4716" w:type="dxa"/>
        </w:tcPr>
        <w:p w14:paraId="46FDB301" w14:textId="77777777" w:rsidR="0059132A" w:rsidRPr="000C386B" w:rsidRDefault="00D0654E" w:rsidP="00967A62">
          <w:pPr>
            <w:pStyle w:val="Podnoje"/>
            <w:rPr>
              <w:sz w:val="18"/>
              <w:lang w:val="fr-FR"/>
            </w:rPr>
          </w:pPr>
          <w:r w:rsidRPr="000C386B">
            <w:rPr>
              <w:sz w:val="18"/>
              <w:lang w:val="fr-FR"/>
            </w:rPr>
            <w:t>Annexe</w:t>
          </w:r>
          <w:r w:rsidR="0059132A" w:rsidRPr="000C386B">
            <w:rPr>
              <w:sz w:val="18"/>
              <w:lang w:val="fr-FR"/>
            </w:rPr>
            <w:t xml:space="preserve"> 1 </w:t>
          </w:r>
          <w:r w:rsidR="005F3FDE" w:rsidRPr="000C386B">
            <w:rPr>
              <w:sz w:val="18"/>
              <w:lang w:val="fr-FR"/>
            </w:rPr>
            <w:t>–</w:t>
          </w:r>
          <w:r w:rsidR="0059132A" w:rsidRPr="000C386B">
            <w:rPr>
              <w:sz w:val="18"/>
              <w:lang w:val="fr-FR"/>
            </w:rPr>
            <w:t xml:space="preserve"> Matri</w:t>
          </w:r>
          <w:r w:rsidRPr="000C386B">
            <w:rPr>
              <w:sz w:val="18"/>
              <w:lang w:val="fr-FR"/>
            </w:rPr>
            <w:t>ce de la performance environnementale</w:t>
          </w:r>
        </w:p>
      </w:tc>
      <w:tc>
        <w:tcPr>
          <w:tcW w:w="4716" w:type="dxa"/>
        </w:tcPr>
        <w:p w14:paraId="0DC91165" w14:textId="77777777" w:rsidR="00BC6ED3" w:rsidRPr="000C386B" w:rsidRDefault="00EC1040" w:rsidP="00BC6ED3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0C386B">
            <w:rPr>
              <w:sz w:val="18"/>
              <w:lang w:val="fr-FR"/>
            </w:rPr>
            <w:t>ver.</w:t>
          </w:r>
          <w:r w:rsidR="00D0654E" w:rsidRPr="000C386B">
            <w:rPr>
              <w:sz w:val="18"/>
              <w:lang w:val="fr-FR"/>
            </w:rPr>
            <w:t xml:space="preserve"> [version] de</w:t>
          </w:r>
          <w:r w:rsidR="00BC6ED3" w:rsidRPr="000C386B">
            <w:rPr>
              <w:sz w:val="18"/>
              <w:lang w:val="fr-FR"/>
            </w:rPr>
            <w:t xml:space="preserve"> [date]</w:t>
          </w:r>
        </w:p>
      </w:tc>
      <w:tc>
        <w:tcPr>
          <w:tcW w:w="4716" w:type="dxa"/>
        </w:tcPr>
        <w:p w14:paraId="75AD15F9" w14:textId="001FF674" w:rsidR="00BC6ED3" w:rsidRPr="000C386B" w:rsidRDefault="00BC6ED3" w:rsidP="00BC6ED3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0C386B">
            <w:rPr>
              <w:sz w:val="18"/>
              <w:lang w:val="fr-FR"/>
            </w:rPr>
            <w:t xml:space="preserve">Page </w:t>
          </w:r>
          <w:r w:rsidR="007626AC" w:rsidRPr="000C386B">
            <w:rPr>
              <w:b/>
              <w:sz w:val="18"/>
              <w:lang w:val="fr-FR"/>
            </w:rPr>
            <w:fldChar w:fldCharType="begin"/>
          </w:r>
          <w:r w:rsidRPr="000C386B">
            <w:rPr>
              <w:b/>
              <w:sz w:val="18"/>
              <w:lang w:val="fr-FR"/>
            </w:rPr>
            <w:instrText xml:space="preserve"> PAGE </w:instrText>
          </w:r>
          <w:r w:rsidR="007626AC" w:rsidRPr="000C386B">
            <w:rPr>
              <w:b/>
              <w:sz w:val="18"/>
              <w:lang w:val="fr-FR"/>
            </w:rPr>
            <w:fldChar w:fldCharType="separate"/>
          </w:r>
          <w:r w:rsidR="007F3EBE">
            <w:rPr>
              <w:b/>
              <w:noProof/>
              <w:sz w:val="18"/>
              <w:lang w:val="fr-FR"/>
            </w:rPr>
            <w:t>1</w:t>
          </w:r>
          <w:r w:rsidR="007626AC" w:rsidRPr="000C386B">
            <w:rPr>
              <w:b/>
              <w:sz w:val="18"/>
              <w:lang w:val="fr-FR"/>
            </w:rPr>
            <w:fldChar w:fldCharType="end"/>
          </w:r>
          <w:r w:rsidR="00D0654E" w:rsidRPr="000C386B">
            <w:rPr>
              <w:sz w:val="18"/>
              <w:lang w:val="fr-FR"/>
            </w:rPr>
            <w:t xml:space="preserve"> de</w:t>
          </w:r>
          <w:r w:rsidRPr="000C386B">
            <w:rPr>
              <w:sz w:val="18"/>
              <w:lang w:val="fr-FR"/>
            </w:rPr>
            <w:t xml:space="preserve"> </w:t>
          </w:r>
          <w:r w:rsidR="007626AC" w:rsidRPr="000C386B">
            <w:rPr>
              <w:b/>
              <w:sz w:val="18"/>
              <w:lang w:val="fr-FR"/>
            </w:rPr>
            <w:fldChar w:fldCharType="begin"/>
          </w:r>
          <w:r w:rsidRPr="000C386B">
            <w:rPr>
              <w:b/>
              <w:sz w:val="18"/>
              <w:lang w:val="fr-FR"/>
            </w:rPr>
            <w:instrText xml:space="preserve"> NUMPAGES  </w:instrText>
          </w:r>
          <w:r w:rsidR="007626AC" w:rsidRPr="000C386B">
            <w:rPr>
              <w:b/>
              <w:sz w:val="18"/>
              <w:lang w:val="fr-FR"/>
            </w:rPr>
            <w:fldChar w:fldCharType="separate"/>
          </w:r>
          <w:r w:rsidR="007F3EBE">
            <w:rPr>
              <w:b/>
              <w:noProof/>
              <w:sz w:val="18"/>
              <w:lang w:val="fr-FR"/>
            </w:rPr>
            <w:t>2</w:t>
          </w:r>
          <w:r w:rsidR="007626AC" w:rsidRPr="000C386B">
            <w:rPr>
              <w:b/>
              <w:sz w:val="18"/>
              <w:lang w:val="fr-FR"/>
            </w:rPr>
            <w:fldChar w:fldCharType="end"/>
          </w:r>
        </w:p>
      </w:tc>
    </w:tr>
  </w:tbl>
  <w:p w14:paraId="49219B44" w14:textId="5B90AE94" w:rsidR="003F3A9F" w:rsidRPr="00D0654E" w:rsidRDefault="00F1269D" w:rsidP="00D0654E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4" w:name="OLE_LINK3"/>
    <w:bookmarkStart w:id="5" w:name="OLE_LINK4"/>
    <w:bookmarkStart w:id="6" w:name="_Hlk270497320"/>
    <w:r>
      <w:rPr>
        <w:rFonts w:eastAsia="Times New Roman"/>
        <w:sz w:val="16"/>
        <w:lang w:val="fr-FR"/>
      </w:rPr>
      <w:t>©2016</w:t>
    </w:r>
    <w:r w:rsidR="00D0654E" w:rsidRPr="005831CC">
      <w:rPr>
        <w:rFonts w:eastAsia="Times New Roman"/>
        <w:sz w:val="16"/>
        <w:lang w:val="fr-FR"/>
      </w:rPr>
      <w:t xml:space="preserve"> Ce modèle peut être utilisé par les clients d’EPPS Services Ltd. www.advisera.com en con</w:t>
    </w:r>
    <w:r w:rsidR="00D0654E">
      <w:rPr>
        <w:rFonts w:eastAsia="Times New Roman"/>
        <w:sz w:val="16"/>
        <w:lang w:val="fr-FR"/>
      </w:rPr>
      <w:t>formité avec l'accord de licence</w:t>
    </w:r>
    <w:r w:rsidR="00D0654E" w:rsidRPr="008607E5">
      <w:rPr>
        <w:sz w:val="16"/>
        <w:lang w:val="fr-FR"/>
      </w:rPr>
      <w:t>.</w:t>
    </w:r>
  </w:p>
  <w:bookmarkEnd w:id="4"/>
  <w:bookmarkEnd w:id="5"/>
  <w:bookmarkEnd w:id="6"/>
  <w:p w14:paraId="294E6635" w14:textId="77777777" w:rsidR="00BC6ED3" w:rsidRPr="00D0654E" w:rsidRDefault="00BC6ED3" w:rsidP="003F3A9F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56188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02BE28" w14:textId="77777777" w:rsidR="003C1DB0" w:rsidRDefault="003C1DB0" w:rsidP="00BC6ED3">
      <w:pPr>
        <w:spacing w:after="0" w:line="240" w:lineRule="auto"/>
      </w:pPr>
      <w:r>
        <w:separator/>
      </w:r>
    </w:p>
  </w:footnote>
  <w:footnote w:type="continuationSeparator" w:id="0">
    <w:p w14:paraId="4A3FD662" w14:textId="77777777" w:rsidR="003C1DB0" w:rsidRDefault="003C1DB0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BC6FD" w14:textId="77777777" w:rsidR="00F1269D" w:rsidRDefault="00F1269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99"/>
      <w:gridCol w:w="3828"/>
    </w:tblGrid>
    <w:tr w:rsidR="00BC6ED3" w:rsidRPr="006571EC" w14:paraId="110DDA80" w14:textId="77777777" w:rsidTr="00967A62">
      <w:trPr>
        <w:trHeight w:val="321"/>
      </w:trPr>
      <w:tc>
        <w:tcPr>
          <w:tcW w:w="10299" w:type="dxa"/>
        </w:tcPr>
        <w:p w14:paraId="00106F91" w14:textId="77777777" w:rsidR="00BC6ED3" w:rsidRPr="00D0654E" w:rsidRDefault="00BC6ED3" w:rsidP="00BC6ED3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D0654E">
            <w:rPr>
              <w:sz w:val="20"/>
              <w:lang w:val="fr-FR"/>
            </w:rPr>
            <w:t xml:space="preserve"> [</w:t>
          </w:r>
          <w:r w:rsidR="00D0654E" w:rsidRPr="00D0654E">
            <w:rPr>
              <w:sz w:val="20"/>
              <w:lang w:val="fr-FR"/>
            </w:rPr>
            <w:t>Nom de l’organis</w:t>
          </w:r>
          <w:r w:rsidRPr="00D0654E">
            <w:rPr>
              <w:sz w:val="20"/>
              <w:lang w:val="fr-FR"/>
            </w:rPr>
            <w:t>me]</w:t>
          </w:r>
        </w:p>
      </w:tc>
      <w:tc>
        <w:tcPr>
          <w:tcW w:w="3828" w:type="dxa"/>
        </w:tcPr>
        <w:p w14:paraId="1194B5C4" w14:textId="77777777" w:rsidR="00BC6ED3" w:rsidRPr="00F6751A" w:rsidRDefault="00BC6ED3" w:rsidP="00BC6ED3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5B842DC5" w14:textId="77777777" w:rsidR="00BC6ED3" w:rsidRPr="003056B2" w:rsidRDefault="00BC6ED3" w:rsidP="00BC6ED3">
    <w:pPr>
      <w:pStyle w:val="Zaglavlje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37EC7" w14:textId="77777777" w:rsidR="00F1269D" w:rsidRDefault="00F1269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11014"/>
    <w:multiLevelType w:val="hybridMultilevel"/>
    <w:tmpl w:val="F65A6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3C77"/>
    <w:rsid w:val="00034443"/>
    <w:rsid w:val="0003459B"/>
    <w:rsid w:val="00054BE6"/>
    <w:rsid w:val="00082359"/>
    <w:rsid w:val="00086C45"/>
    <w:rsid w:val="00087E8B"/>
    <w:rsid w:val="000A275D"/>
    <w:rsid w:val="000A4E5D"/>
    <w:rsid w:val="000B7D08"/>
    <w:rsid w:val="000C386B"/>
    <w:rsid w:val="001078A5"/>
    <w:rsid w:val="001775EB"/>
    <w:rsid w:val="00186C91"/>
    <w:rsid w:val="00187E47"/>
    <w:rsid w:val="001A6112"/>
    <w:rsid w:val="001C5DF6"/>
    <w:rsid w:val="001E53FF"/>
    <w:rsid w:val="00212FB7"/>
    <w:rsid w:val="00217C15"/>
    <w:rsid w:val="0023194E"/>
    <w:rsid w:val="0024530A"/>
    <w:rsid w:val="00262852"/>
    <w:rsid w:val="002657A2"/>
    <w:rsid w:val="002B32B5"/>
    <w:rsid w:val="002C1817"/>
    <w:rsid w:val="002D0DCB"/>
    <w:rsid w:val="00321279"/>
    <w:rsid w:val="00352731"/>
    <w:rsid w:val="003946EE"/>
    <w:rsid w:val="003B0BC3"/>
    <w:rsid w:val="003C1DB0"/>
    <w:rsid w:val="003D039C"/>
    <w:rsid w:val="003D316F"/>
    <w:rsid w:val="003E61CE"/>
    <w:rsid w:val="003F3A9F"/>
    <w:rsid w:val="0040705C"/>
    <w:rsid w:val="00423138"/>
    <w:rsid w:val="004266EA"/>
    <w:rsid w:val="00433B0B"/>
    <w:rsid w:val="004B649B"/>
    <w:rsid w:val="004F276A"/>
    <w:rsid w:val="005326C3"/>
    <w:rsid w:val="005710BB"/>
    <w:rsid w:val="0057562D"/>
    <w:rsid w:val="0059132A"/>
    <w:rsid w:val="005A6826"/>
    <w:rsid w:val="005D100D"/>
    <w:rsid w:val="005F3FDE"/>
    <w:rsid w:val="006274CC"/>
    <w:rsid w:val="00640F35"/>
    <w:rsid w:val="00655045"/>
    <w:rsid w:val="00691F57"/>
    <w:rsid w:val="006A08E8"/>
    <w:rsid w:val="006A4C6F"/>
    <w:rsid w:val="006C3D90"/>
    <w:rsid w:val="006C67A5"/>
    <w:rsid w:val="006D0872"/>
    <w:rsid w:val="00725241"/>
    <w:rsid w:val="00747A0B"/>
    <w:rsid w:val="007626AC"/>
    <w:rsid w:val="007705D5"/>
    <w:rsid w:val="007731F8"/>
    <w:rsid w:val="007838F4"/>
    <w:rsid w:val="00786D0F"/>
    <w:rsid w:val="00791C91"/>
    <w:rsid w:val="0079401C"/>
    <w:rsid w:val="007955CD"/>
    <w:rsid w:val="007955DD"/>
    <w:rsid w:val="00795927"/>
    <w:rsid w:val="007D0505"/>
    <w:rsid w:val="007D2B84"/>
    <w:rsid w:val="007F3EBE"/>
    <w:rsid w:val="008037DE"/>
    <w:rsid w:val="0081662D"/>
    <w:rsid w:val="008512C9"/>
    <w:rsid w:val="008567CC"/>
    <w:rsid w:val="0089044C"/>
    <w:rsid w:val="0089533C"/>
    <w:rsid w:val="008C60E9"/>
    <w:rsid w:val="008D4091"/>
    <w:rsid w:val="008D6E04"/>
    <w:rsid w:val="008E6903"/>
    <w:rsid w:val="009231CD"/>
    <w:rsid w:val="00923B66"/>
    <w:rsid w:val="00927DFD"/>
    <w:rsid w:val="009345E5"/>
    <w:rsid w:val="00951516"/>
    <w:rsid w:val="009607CD"/>
    <w:rsid w:val="00967A62"/>
    <w:rsid w:val="0098375C"/>
    <w:rsid w:val="009E1215"/>
    <w:rsid w:val="00A01651"/>
    <w:rsid w:val="00A21658"/>
    <w:rsid w:val="00A3068F"/>
    <w:rsid w:val="00A354CD"/>
    <w:rsid w:val="00A35B04"/>
    <w:rsid w:val="00A432AA"/>
    <w:rsid w:val="00A43D0B"/>
    <w:rsid w:val="00A811C6"/>
    <w:rsid w:val="00A82A60"/>
    <w:rsid w:val="00AD308A"/>
    <w:rsid w:val="00AF3156"/>
    <w:rsid w:val="00B00B58"/>
    <w:rsid w:val="00B044E1"/>
    <w:rsid w:val="00B10A34"/>
    <w:rsid w:val="00B36D4D"/>
    <w:rsid w:val="00B640EE"/>
    <w:rsid w:val="00B97B81"/>
    <w:rsid w:val="00BA3255"/>
    <w:rsid w:val="00BC6ED3"/>
    <w:rsid w:val="00BF777A"/>
    <w:rsid w:val="00C473DC"/>
    <w:rsid w:val="00C52722"/>
    <w:rsid w:val="00C7779B"/>
    <w:rsid w:val="00C944C7"/>
    <w:rsid w:val="00CB17E8"/>
    <w:rsid w:val="00CB5C08"/>
    <w:rsid w:val="00D0654E"/>
    <w:rsid w:val="00D149B5"/>
    <w:rsid w:val="00D14F65"/>
    <w:rsid w:val="00D33CC8"/>
    <w:rsid w:val="00D433FC"/>
    <w:rsid w:val="00D74CC1"/>
    <w:rsid w:val="00DA308E"/>
    <w:rsid w:val="00DC285F"/>
    <w:rsid w:val="00DD0182"/>
    <w:rsid w:val="00E05571"/>
    <w:rsid w:val="00E151D6"/>
    <w:rsid w:val="00E25FBB"/>
    <w:rsid w:val="00E35D26"/>
    <w:rsid w:val="00E5340C"/>
    <w:rsid w:val="00E54336"/>
    <w:rsid w:val="00E63E42"/>
    <w:rsid w:val="00EA226C"/>
    <w:rsid w:val="00EB2252"/>
    <w:rsid w:val="00EB4652"/>
    <w:rsid w:val="00EC1040"/>
    <w:rsid w:val="00EC38EC"/>
    <w:rsid w:val="00EE397F"/>
    <w:rsid w:val="00EF3B38"/>
    <w:rsid w:val="00F10E78"/>
    <w:rsid w:val="00F1269D"/>
    <w:rsid w:val="00F327D8"/>
    <w:rsid w:val="00F34728"/>
    <w:rsid w:val="00F36FA2"/>
    <w:rsid w:val="00FA2D40"/>
    <w:rsid w:val="00FC5190"/>
    <w:rsid w:val="00FD1597"/>
    <w:rsid w:val="00FD2D1C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B0346DE"/>
  <w15:docId w15:val="{B2EA7E4D-E1A3-4730-8A4A-7708D1546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zija">
    <w:name w:val="Revision"/>
    <w:hidden/>
    <w:uiPriority w:val="99"/>
    <w:semiHidden/>
    <w:rsid w:val="005F3FDE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blog/2015/07/06/environmental-performance-evaluation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advisera.com/9001academy/documentation/list-external-documents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0B732-DAAC-43C1-BEC0-264EA4A07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114</Words>
  <Characters>655</Characters>
  <Application>Microsoft Office Word</Application>
  <DocSecurity>0</DocSecurity>
  <Lines>5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1 - Matrice de la performance environnementale</vt:lpstr>
      <vt:lpstr>Appendix 1 - Matrix of Environmental Performance</vt:lpstr>
      <vt:lpstr>Appendix 1 - Matrix of Environmental Performance</vt:lpstr>
    </vt:vector>
  </TitlesOfParts>
  <Company>EPPS Services Ltd</Company>
  <LinksUpToDate>false</LinksUpToDate>
  <CharactersWithSpaces>768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1 - Matrice de la performance environnementale</dc:title>
  <dc:creator>14001Academy</dc:creator>
  <dc:description>©2016 Ce modèle peut être utilisé par les clients d’EPPS Services Ltd. www.advisera.com en conformité avec l'accord de licence</dc:description>
  <cp:lastModifiedBy>14001Academy</cp:lastModifiedBy>
  <cp:revision>11</cp:revision>
  <dcterms:created xsi:type="dcterms:W3CDTF">2016-05-28T14:53:00Z</dcterms:created>
  <dcterms:modified xsi:type="dcterms:W3CDTF">2016-07-14T09:16:00Z</dcterms:modified>
</cp:coreProperties>
</file>