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92E63" w14:textId="6647EEAB" w:rsidR="00AE035F" w:rsidRPr="00061F06" w:rsidRDefault="00061F06" w:rsidP="00061F06">
      <w:pPr>
        <w:jc w:val="center"/>
        <w:rPr>
          <w:rFonts w:asciiTheme="minorHAnsi" w:eastAsiaTheme="minorEastAsia" w:hAnsiTheme="minorHAnsi"/>
          <w:lang w:val="en-US" w:eastAsia="zh-CN"/>
        </w:rPr>
      </w:pPr>
      <w:r w:rsidRPr="00061F06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07556D00" w14:textId="77777777" w:rsidR="00AE035F" w:rsidRPr="00C64108" w:rsidRDefault="00AE035F">
      <w:pPr>
        <w:rPr>
          <w:lang w:val="en-US"/>
        </w:rPr>
      </w:pPr>
    </w:p>
    <w:p w14:paraId="73435517" w14:textId="77777777" w:rsidR="00AE035F" w:rsidRPr="00C64108" w:rsidRDefault="00AE035F">
      <w:pPr>
        <w:rPr>
          <w:lang w:val="en-US"/>
        </w:rPr>
      </w:pPr>
    </w:p>
    <w:p w14:paraId="7924471E" w14:textId="77777777" w:rsidR="00AE035F" w:rsidRPr="00C64108" w:rsidRDefault="00AE035F">
      <w:pPr>
        <w:rPr>
          <w:lang w:val="en-US"/>
        </w:rPr>
      </w:pPr>
    </w:p>
    <w:p w14:paraId="7FC93C29" w14:textId="77777777" w:rsidR="00AE035F" w:rsidRPr="00C64108" w:rsidRDefault="00AE035F">
      <w:pPr>
        <w:rPr>
          <w:lang w:val="en-US"/>
        </w:rPr>
      </w:pPr>
    </w:p>
    <w:p w14:paraId="6615F13F" w14:textId="77777777" w:rsidR="00AE035F" w:rsidRPr="00070952" w:rsidRDefault="00AE035F" w:rsidP="00AE035F">
      <w:pPr>
        <w:jc w:val="center"/>
        <w:rPr>
          <w:lang w:val="fr-FR"/>
        </w:rPr>
      </w:pPr>
      <w:commentRangeStart w:id="0"/>
      <w:r w:rsidRPr="00070952">
        <w:rPr>
          <w:lang w:val="fr-FR"/>
        </w:rPr>
        <w:t>[</w:t>
      </w:r>
      <w:r w:rsidR="00070952" w:rsidRPr="00070952">
        <w:rPr>
          <w:lang w:val="fr-FR"/>
        </w:rPr>
        <w:t>Logo de l’organisme</w:t>
      </w:r>
      <w:r w:rsidRPr="00070952">
        <w:rPr>
          <w:lang w:val="fr-FR"/>
        </w:rPr>
        <w:t>]</w:t>
      </w:r>
      <w:commentRangeEnd w:id="0"/>
      <w:r w:rsidR="00C50638" w:rsidRPr="00070952">
        <w:rPr>
          <w:rStyle w:val="Referencakomentara"/>
          <w:lang w:val="fr-FR"/>
        </w:rPr>
        <w:commentReference w:id="0"/>
      </w:r>
    </w:p>
    <w:p w14:paraId="72D4DD91" w14:textId="77777777" w:rsidR="00AE035F" w:rsidRPr="00070952" w:rsidRDefault="00AE035F" w:rsidP="00AE035F">
      <w:pPr>
        <w:jc w:val="center"/>
        <w:rPr>
          <w:lang w:val="fr-FR"/>
        </w:rPr>
      </w:pPr>
      <w:r w:rsidRPr="00070952">
        <w:rPr>
          <w:lang w:val="fr-FR"/>
        </w:rPr>
        <w:t>[</w:t>
      </w:r>
      <w:r w:rsidR="00070952" w:rsidRPr="00070952">
        <w:rPr>
          <w:lang w:val="fr-FR"/>
        </w:rPr>
        <w:t>Nom de l’organis</w:t>
      </w:r>
      <w:r w:rsidRPr="00070952">
        <w:rPr>
          <w:lang w:val="fr-FR"/>
        </w:rPr>
        <w:t>me]</w:t>
      </w:r>
    </w:p>
    <w:p w14:paraId="6B450227" w14:textId="77777777" w:rsidR="00AE035F" w:rsidRPr="00070952" w:rsidRDefault="00AE035F" w:rsidP="00AE035F">
      <w:pPr>
        <w:jc w:val="center"/>
        <w:rPr>
          <w:lang w:val="fr-FR"/>
        </w:rPr>
      </w:pPr>
    </w:p>
    <w:p w14:paraId="51708362" w14:textId="77777777" w:rsidR="00AE035F" w:rsidRPr="00070952" w:rsidRDefault="00AE035F" w:rsidP="00AE035F">
      <w:pPr>
        <w:jc w:val="center"/>
        <w:rPr>
          <w:lang w:val="fr-FR"/>
        </w:rPr>
      </w:pPr>
    </w:p>
    <w:p w14:paraId="646D321F" w14:textId="77777777" w:rsidR="00AE035F" w:rsidRPr="00070952" w:rsidRDefault="00070952" w:rsidP="00AE035F">
      <w:pPr>
        <w:jc w:val="center"/>
        <w:rPr>
          <w:b/>
          <w:sz w:val="32"/>
          <w:szCs w:val="32"/>
          <w:lang w:val="fr-FR"/>
        </w:rPr>
      </w:pPr>
      <w:r w:rsidRPr="00070952">
        <w:rPr>
          <w:b/>
          <w:sz w:val="32"/>
          <w:lang w:val="fr-FR"/>
        </w:rPr>
        <w:t>LIGNE DIRECTRICE POUR LA GESTION DES PILES ET DES ACCUMULATEURS USAGES</w:t>
      </w:r>
    </w:p>
    <w:p w14:paraId="4C28C234" w14:textId="77777777" w:rsidR="00AE035F" w:rsidRPr="0007095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70952" w14:paraId="005FCD0A" w14:textId="77777777" w:rsidTr="0097243F">
        <w:tc>
          <w:tcPr>
            <w:tcW w:w="2376" w:type="dxa"/>
          </w:tcPr>
          <w:p w14:paraId="52AF10CB" w14:textId="77777777" w:rsidR="00DA78C6" w:rsidRPr="00070952" w:rsidRDefault="00DA78C6" w:rsidP="0097243F">
            <w:pPr>
              <w:rPr>
                <w:lang w:val="fr-FR"/>
              </w:rPr>
            </w:pPr>
            <w:commentRangeStart w:id="1"/>
            <w:r w:rsidRPr="00070952">
              <w:rPr>
                <w:lang w:val="fr-FR"/>
              </w:rPr>
              <w:t>Code:</w:t>
            </w:r>
            <w:commentRangeEnd w:id="1"/>
            <w:r w:rsidR="00C50638" w:rsidRPr="00070952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212415AA" w14:textId="77777777" w:rsidR="00DA78C6" w:rsidRPr="00070952" w:rsidRDefault="00DA78C6" w:rsidP="0097243F">
            <w:pPr>
              <w:rPr>
                <w:lang w:val="fr-FR"/>
              </w:rPr>
            </w:pPr>
          </w:p>
        </w:tc>
      </w:tr>
      <w:tr w:rsidR="00DA78C6" w:rsidRPr="00070952" w14:paraId="47DA2DFD" w14:textId="77777777" w:rsidTr="0097243F">
        <w:tc>
          <w:tcPr>
            <w:tcW w:w="2376" w:type="dxa"/>
          </w:tcPr>
          <w:p w14:paraId="7649A789" w14:textId="77777777" w:rsidR="00DA78C6" w:rsidRPr="00070952" w:rsidRDefault="00DA78C6" w:rsidP="0097243F">
            <w:pPr>
              <w:rPr>
                <w:lang w:val="fr-FR"/>
              </w:rPr>
            </w:pPr>
            <w:r w:rsidRPr="0007095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2AD27BD" w14:textId="77777777" w:rsidR="00DA78C6" w:rsidRPr="00070952" w:rsidRDefault="00175092" w:rsidP="0097243F">
            <w:pPr>
              <w:rPr>
                <w:lang w:val="fr-FR"/>
              </w:rPr>
            </w:pPr>
            <w:r w:rsidRPr="00070952">
              <w:rPr>
                <w:lang w:val="fr-FR"/>
              </w:rPr>
              <w:t>0.1</w:t>
            </w:r>
          </w:p>
        </w:tc>
      </w:tr>
      <w:tr w:rsidR="00DA78C6" w:rsidRPr="00070952" w14:paraId="5099D910" w14:textId="77777777" w:rsidTr="0097243F">
        <w:tc>
          <w:tcPr>
            <w:tcW w:w="2376" w:type="dxa"/>
          </w:tcPr>
          <w:p w14:paraId="182322D3" w14:textId="77777777" w:rsidR="00DA78C6" w:rsidRPr="00070952" w:rsidRDefault="00070952" w:rsidP="0097243F">
            <w:pPr>
              <w:rPr>
                <w:lang w:val="fr-FR"/>
              </w:rPr>
            </w:pPr>
            <w:r w:rsidRPr="00070952">
              <w:rPr>
                <w:lang w:val="fr-FR"/>
              </w:rPr>
              <w:t>Crée par</w:t>
            </w:r>
            <w:r w:rsidR="00DA78C6" w:rsidRPr="0007095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6FBAFF4" w14:textId="77777777" w:rsidR="00DA78C6" w:rsidRPr="00070952" w:rsidRDefault="00DA78C6" w:rsidP="0097243F">
            <w:pPr>
              <w:rPr>
                <w:lang w:val="fr-FR"/>
              </w:rPr>
            </w:pPr>
          </w:p>
        </w:tc>
      </w:tr>
      <w:tr w:rsidR="00DA78C6" w:rsidRPr="00070952" w14:paraId="24B80476" w14:textId="77777777" w:rsidTr="0097243F">
        <w:tc>
          <w:tcPr>
            <w:tcW w:w="2376" w:type="dxa"/>
          </w:tcPr>
          <w:p w14:paraId="39292835" w14:textId="77777777" w:rsidR="00DA78C6" w:rsidRPr="00070952" w:rsidRDefault="00070952" w:rsidP="0097243F">
            <w:pPr>
              <w:rPr>
                <w:lang w:val="fr-FR"/>
              </w:rPr>
            </w:pPr>
            <w:r w:rsidRPr="00070952">
              <w:rPr>
                <w:lang w:val="fr-FR"/>
              </w:rPr>
              <w:t>Approuvée par</w:t>
            </w:r>
            <w:r w:rsidR="00DA78C6" w:rsidRPr="0007095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7AF85A95" w14:textId="77777777" w:rsidR="00DA78C6" w:rsidRPr="00070952" w:rsidRDefault="00DA78C6" w:rsidP="0097243F">
            <w:pPr>
              <w:rPr>
                <w:lang w:val="fr-FR"/>
              </w:rPr>
            </w:pPr>
          </w:p>
        </w:tc>
      </w:tr>
      <w:tr w:rsidR="00DA78C6" w:rsidRPr="00070952" w14:paraId="10DFC1FA" w14:textId="77777777" w:rsidTr="0097243F">
        <w:tc>
          <w:tcPr>
            <w:tcW w:w="2376" w:type="dxa"/>
          </w:tcPr>
          <w:p w14:paraId="428FDFEF" w14:textId="77777777" w:rsidR="00DA78C6" w:rsidRPr="00070952" w:rsidRDefault="00070952" w:rsidP="0097243F">
            <w:pPr>
              <w:rPr>
                <w:lang w:val="fr-FR"/>
              </w:rPr>
            </w:pPr>
            <w:r w:rsidRPr="00070952">
              <w:rPr>
                <w:lang w:val="fr-FR"/>
              </w:rPr>
              <w:t>Date de la</w:t>
            </w:r>
            <w:r w:rsidR="00DA78C6" w:rsidRPr="0007095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248EAF17" w14:textId="77777777" w:rsidR="00DA78C6" w:rsidRPr="00070952" w:rsidRDefault="00DA78C6" w:rsidP="0097243F">
            <w:pPr>
              <w:rPr>
                <w:lang w:val="fr-FR"/>
              </w:rPr>
            </w:pPr>
          </w:p>
        </w:tc>
      </w:tr>
      <w:tr w:rsidR="00DA78C6" w:rsidRPr="00070952" w14:paraId="58DF7892" w14:textId="77777777" w:rsidTr="0097243F">
        <w:tc>
          <w:tcPr>
            <w:tcW w:w="2376" w:type="dxa"/>
          </w:tcPr>
          <w:p w14:paraId="73214545" w14:textId="77777777" w:rsidR="00DA78C6" w:rsidRPr="00070952" w:rsidRDefault="00DA78C6" w:rsidP="0097243F">
            <w:pPr>
              <w:rPr>
                <w:lang w:val="fr-FR"/>
              </w:rPr>
            </w:pPr>
            <w:r w:rsidRPr="0007095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5E6B63C6" w14:textId="77777777" w:rsidR="00DA78C6" w:rsidRPr="00070952" w:rsidRDefault="00DA78C6" w:rsidP="0097243F">
            <w:pPr>
              <w:rPr>
                <w:lang w:val="fr-FR"/>
              </w:rPr>
            </w:pPr>
          </w:p>
        </w:tc>
      </w:tr>
    </w:tbl>
    <w:p w14:paraId="10216A7C" w14:textId="77777777" w:rsidR="00AE035F" w:rsidRPr="00070952" w:rsidRDefault="00AE035F" w:rsidP="00AE035F">
      <w:pPr>
        <w:rPr>
          <w:lang w:val="fr-FR"/>
        </w:rPr>
      </w:pPr>
    </w:p>
    <w:p w14:paraId="6CFECAAC" w14:textId="77777777" w:rsidR="00DA78C6" w:rsidRPr="00070952" w:rsidRDefault="00DA78C6" w:rsidP="00965663">
      <w:pPr>
        <w:rPr>
          <w:lang w:val="fr-FR"/>
        </w:rPr>
      </w:pPr>
    </w:p>
    <w:p w14:paraId="05B20819" w14:textId="77777777" w:rsidR="00DA78C6" w:rsidRPr="00070952" w:rsidRDefault="00070952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070952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070952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70952" w14:paraId="3A757E3F" w14:textId="77777777" w:rsidTr="0097243F">
        <w:tc>
          <w:tcPr>
            <w:tcW w:w="761" w:type="dxa"/>
            <w:vMerge w:val="restart"/>
            <w:vAlign w:val="center"/>
          </w:tcPr>
          <w:p w14:paraId="19ED51DE" w14:textId="77777777" w:rsidR="00DA78C6" w:rsidRPr="00070952" w:rsidRDefault="00070952" w:rsidP="0097243F">
            <w:pPr>
              <w:spacing w:after="0"/>
              <w:rPr>
                <w:lang w:val="fr-FR"/>
              </w:rPr>
            </w:pPr>
            <w:r w:rsidRPr="00070952">
              <w:rPr>
                <w:lang w:val="fr-FR"/>
              </w:rPr>
              <w:t>Copie</w:t>
            </w:r>
            <w:r w:rsidR="00175092" w:rsidRPr="0007095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406A80A0" w14:textId="77777777" w:rsidR="00DA78C6" w:rsidRPr="00070952" w:rsidRDefault="00070952" w:rsidP="0097243F">
            <w:pPr>
              <w:spacing w:after="0"/>
              <w:rPr>
                <w:lang w:val="fr-FR"/>
              </w:rPr>
            </w:pPr>
            <w:r w:rsidRPr="0007095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50D53ED5" w14:textId="77777777" w:rsidR="00DA78C6" w:rsidRPr="00070952" w:rsidRDefault="00175092" w:rsidP="0097243F">
            <w:pPr>
              <w:spacing w:after="0"/>
              <w:ind w:left="-18"/>
              <w:rPr>
                <w:lang w:val="fr-FR"/>
              </w:rPr>
            </w:pPr>
            <w:r w:rsidRPr="0007095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1FD860E0" w14:textId="77777777" w:rsidR="00DA78C6" w:rsidRPr="00070952" w:rsidRDefault="00175092" w:rsidP="0097243F">
            <w:pPr>
              <w:spacing w:after="0"/>
              <w:rPr>
                <w:lang w:val="fr-FR"/>
              </w:rPr>
            </w:pPr>
            <w:r w:rsidRPr="0007095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4B092FA4" w14:textId="77777777" w:rsidR="00DA78C6" w:rsidRPr="00070952" w:rsidRDefault="00D84F71" w:rsidP="0097243F">
            <w:pPr>
              <w:spacing w:after="0"/>
              <w:ind w:left="108"/>
              <w:rPr>
                <w:lang w:val="fr-FR"/>
              </w:rPr>
            </w:pPr>
            <w:r w:rsidRPr="00070952">
              <w:rPr>
                <w:lang w:val="fr-FR"/>
              </w:rPr>
              <w:t>Renvoyée</w:t>
            </w:r>
          </w:p>
        </w:tc>
      </w:tr>
      <w:tr w:rsidR="00DA78C6" w:rsidRPr="00070952" w14:paraId="3FEE246A" w14:textId="77777777" w:rsidTr="0097243F">
        <w:tc>
          <w:tcPr>
            <w:tcW w:w="761" w:type="dxa"/>
            <w:vMerge/>
          </w:tcPr>
          <w:p w14:paraId="4878FE4B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4C0610E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43583FCF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2B94CD5B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0696D7C8" w14:textId="77777777" w:rsidR="00DA78C6" w:rsidRPr="00070952" w:rsidRDefault="00175092" w:rsidP="0097243F">
            <w:pPr>
              <w:spacing w:after="0"/>
              <w:ind w:left="108"/>
              <w:rPr>
                <w:lang w:val="fr-FR"/>
              </w:rPr>
            </w:pPr>
            <w:r w:rsidRPr="0007095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63E0BE37" w14:textId="77777777" w:rsidR="00DA78C6" w:rsidRPr="00070952" w:rsidRDefault="00175092" w:rsidP="0097243F">
            <w:pPr>
              <w:spacing w:after="0"/>
              <w:ind w:left="90"/>
              <w:rPr>
                <w:lang w:val="fr-FR"/>
              </w:rPr>
            </w:pPr>
            <w:r w:rsidRPr="00070952">
              <w:rPr>
                <w:lang w:val="fr-FR"/>
              </w:rPr>
              <w:t>Signature</w:t>
            </w:r>
          </w:p>
        </w:tc>
      </w:tr>
      <w:tr w:rsidR="00DA78C6" w:rsidRPr="00070952" w14:paraId="6C0FDEDD" w14:textId="77777777" w:rsidTr="0097243F">
        <w:tc>
          <w:tcPr>
            <w:tcW w:w="761" w:type="dxa"/>
          </w:tcPr>
          <w:p w14:paraId="2DF7C795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5B06723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B71728C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442D9E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496C82F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8A9F59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070952" w14:paraId="5688E558" w14:textId="77777777" w:rsidTr="0097243F">
        <w:tc>
          <w:tcPr>
            <w:tcW w:w="761" w:type="dxa"/>
          </w:tcPr>
          <w:p w14:paraId="37E5B3B4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22BDE21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7F55461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9B2F684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1A7F84C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3ED6D5A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070952" w14:paraId="0A433D1B" w14:textId="77777777" w:rsidTr="0097243F">
        <w:tc>
          <w:tcPr>
            <w:tcW w:w="761" w:type="dxa"/>
          </w:tcPr>
          <w:p w14:paraId="5CD33E07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EFF8350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B5D55B4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6AD925C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BD4C790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CF8A79F" w14:textId="77777777" w:rsidR="00DA78C6" w:rsidRPr="0007095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508BED14" w14:textId="77777777" w:rsidR="00DA78C6" w:rsidRPr="00070952" w:rsidRDefault="00DA78C6" w:rsidP="00DA78C6">
      <w:pPr>
        <w:rPr>
          <w:b/>
          <w:sz w:val="28"/>
          <w:lang w:val="fr-FR"/>
        </w:rPr>
      </w:pPr>
    </w:p>
    <w:p w14:paraId="231301EB" w14:textId="77777777" w:rsidR="00AE035F" w:rsidRPr="00070952" w:rsidRDefault="00175092" w:rsidP="00965663">
      <w:pPr>
        <w:rPr>
          <w:lang w:val="fr-FR"/>
        </w:rPr>
      </w:pPr>
      <w:r w:rsidRPr="00070952">
        <w:rPr>
          <w:lang w:val="fr-FR"/>
        </w:rPr>
        <w:br w:type="page"/>
      </w:r>
    </w:p>
    <w:p w14:paraId="2B3D4C32" w14:textId="77777777" w:rsidR="00AE035F" w:rsidRPr="00070952" w:rsidRDefault="00AE035F" w:rsidP="00AE035F">
      <w:pPr>
        <w:rPr>
          <w:lang w:val="fr-FR"/>
        </w:rPr>
      </w:pPr>
    </w:p>
    <w:p w14:paraId="69A0DA00" w14:textId="77777777" w:rsidR="009C3F7A" w:rsidRPr="00070952" w:rsidRDefault="00070952" w:rsidP="009C3F7A">
      <w:pPr>
        <w:rPr>
          <w:b/>
          <w:sz w:val="28"/>
          <w:szCs w:val="28"/>
          <w:lang w:val="fr-FR"/>
        </w:rPr>
      </w:pPr>
      <w:r w:rsidRPr="0007095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070952" w14:paraId="519FE565" w14:textId="77777777" w:rsidTr="00070952">
        <w:tc>
          <w:tcPr>
            <w:tcW w:w="1378" w:type="dxa"/>
          </w:tcPr>
          <w:p w14:paraId="5AD828E9" w14:textId="77777777" w:rsidR="009C3F7A" w:rsidRPr="00070952" w:rsidRDefault="00175092" w:rsidP="0097243F">
            <w:pPr>
              <w:rPr>
                <w:b/>
                <w:lang w:val="fr-FR"/>
              </w:rPr>
            </w:pPr>
            <w:r w:rsidRPr="0007095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31A6569A" w14:textId="77777777" w:rsidR="009C3F7A" w:rsidRPr="00070952" w:rsidRDefault="00175092" w:rsidP="0097243F">
            <w:pPr>
              <w:rPr>
                <w:b/>
                <w:lang w:val="fr-FR"/>
              </w:rPr>
            </w:pPr>
            <w:r w:rsidRPr="0007095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55551142" w14:textId="77777777" w:rsidR="009C3F7A" w:rsidRPr="00070952" w:rsidRDefault="00070952" w:rsidP="0097243F">
            <w:pPr>
              <w:rPr>
                <w:b/>
                <w:lang w:val="fr-FR"/>
              </w:rPr>
            </w:pPr>
            <w:r w:rsidRPr="0007095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3B83FD79" w14:textId="77777777" w:rsidR="009C3F7A" w:rsidRPr="00070952" w:rsidRDefault="00070952" w:rsidP="0097243F">
            <w:pPr>
              <w:rPr>
                <w:b/>
                <w:lang w:val="fr-FR"/>
              </w:rPr>
            </w:pPr>
            <w:r w:rsidRPr="00070952">
              <w:rPr>
                <w:b/>
                <w:lang w:val="fr-FR"/>
              </w:rPr>
              <w:t>Description de la modification</w:t>
            </w:r>
          </w:p>
        </w:tc>
      </w:tr>
      <w:tr w:rsidR="00070952" w:rsidRPr="00070952" w14:paraId="5A891701" w14:textId="77777777" w:rsidTr="00070952">
        <w:tc>
          <w:tcPr>
            <w:tcW w:w="1378" w:type="dxa"/>
          </w:tcPr>
          <w:p w14:paraId="7E3036BE" w14:textId="77777777" w:rsidR="00070952" w:rsidRPr="00070952" w:rsidRDefault="00070952" w:rsidP="00070952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AB11C2C" w14:textId="77777777" w:rsidR="00070952" w:rsidRPr="00070952" w:rsidRDefault="00070952" w:rsidP="00070952">
            <w:pPr>
              <w:rPr>
                <w:lang w:val="fr-FR"/>
              </w:rPr>
            </w:pPr>
            <w:r w:rsidRPr="0007095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17929549" w14:textId="77777777" w:rsidR="00070952" w:rsidRPr="00070952" w:rsidRDefault="00070952" w:rsidP="00070952">
            <w:pPr>
              <w:rPr>
                <w:lang w:val="fr-FR"/>
              </w:rPr>
            </w:pPr>
            <w:r w:rsidRPr="0007095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6D75C811" w14:textId="77777777" w:rsidR="00070952" w:rsidRPr="00070952" w:rsidRDefault="00070952" w:rsidP="00070952">
            <w:pPr>
              <w:rPr>
                <w:lang w:val="fr-FR"/>
              </w:rPr>
            </w:pPr>
            <w:r w:rsidRPr="00070952">
              <w:rPr>
                <w:lang w:val="fr-FR"/>
              </w:rPr>
              <w:t>Structure documentaire de base</w:t>
            </w:r>
          </w:p>
        </w:tc>
      </w:tr>
      <w:tr w:rsidR="009C3F7A" w:rsidRPr="00070952" w14:paraId="55D112D9" w14:textId="77777777" w:rsidTr="00070952">
        <w:tc>
          <w:tcPr>
            <w:tcW w:w="1378" w:type="dxa"/>
          </w:tcPr>
          <w:p w14:paraId="584471AE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4CA04C4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525A3E6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00DA071" w14:textId="77777777" w:rsidR="009C3F7A" w:rsidRPr="00070952" w:rsidRDefault="009C3F7A" w:rsidP="0097243F">
            <w:pPr>
              <w:rPr>
                <w:lang w:val="fr-FR"/>
              </w:rPr>
            </w:pPr>
          </w:p>
        </w:tc>
      </w:tr>
      <w:tr w:rsidR="009C3F7A" w:rsidRPr="00070952" w14:paraId="5016330F" w14:textId="77777777" w:rsidTr="00070952">
        <w:tc>
          <w:tcPr>
            <w:tcW w:w="1378" w:type="dxa"/>
          </w:tcPr>
          <w:p w14:paraId="50CCFC27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2F23E88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255C37F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F399BAE" w14:textId="77777777" w:rsidR="009C3F7A" w:rsidRPr="00070952" w:rsidRDefault="009C3F7A" w:rsidP="0097243F">
            <w:pPr>
              <w:rPr>
                <w:lang w:val="fr-FR"/>
              </w:rPr>
            </w:pPr>
          </w:p>
        </w:tc>
      </w:tr>
      <w:tr w:rsidR="009C3F7A" w:rsidRPr="00070952" w14:paraId="76D4198C" w14:textId="77777777" w:rsidTr="00070952">
        <w:tc>
          <w:tcPr>
            <w:tcW w:w="1378" w:type="dxa"/>
          </w:tcPr>
          <w:p w14:paraId="7EB1B6EA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2C32181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2E8F3F5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DE3CA49" w14:textId="77777777" w:rsidR="009C3F7A" w:rsidRPr="00070952" w:rsidRDefault="009C3F7A" w:rsidP="0097243F">
            <w:pPr>
              <w:rPr>
                <w:lang w:val="fr-FR"/>
              </w:rPr>
            </w:pPr>
          </w:p>
        </w:tc>
      </w:tr>
      <w:tr w:rsidR="009C3F7A" w:rsidRPr="00070952" w14:paraId="39ED4CDD" w14:textId="77777777" w:rsidTr="00070952">
        <w:tc>
          <w:tcPr>
            <w:tcW w:w="1378" w:type="dxa"/>
          </w:tcPr>
          <w:p w14:paraId="41E5178E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CC57AA1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EFE3660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978CA14" w14:textId="77777777" w:rsidR="009C3F7A" w:rsidRPr="00070952" w:rsidRDefault="009C3F7A" w:rsidP="0097243F">
            <w:pPr>
              <w:rPr>
                <w:lang w:val="fr-FR"/>
              </w:rPr>
            </w:pPr>
          </w:p>
        </w:tc>
      </w:tr>
      <w:tr w:rsidR="009C3F7A" w:rsidRPr="00070952" w14:paraId="436971D4" w14:textId="77777777" w:rsidTr="00070952">
        <w:tc>
          <w:tcPr>
            <w:tcW w:w="1378" w:type="dxa"/>
          </w:tcPr>
          <w:p w14:paraId="5FAA8DD4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D0FEC29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6E3BB2F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990CF31" w14:textId="77777777" w:rsidR="009C3F7A" w:rsidRPr="00070952" w:rsidRDefault="009C3F7A" w:rsidP="0097243F">
            <w:pPr>
              <w:rPr>
                <w:lang w:val="fr-FR"/>
              </w:rPr>
            </w:pPr>
          </w:p>
        </w:tc>
      </w:tr>
      <w:tr w:rsidR="009C3F7A" w:rsidRPr="00070952" w14:paraId="043D67BD" w14:textId="77777777" w:rsidTr="00070952">
        <w:tc>
          <w:tcPr>
            <w:tcW w:w="1378" w:type="dxa"/>
          </w:tcPr>
          <w:p w14:paraId="3F40A290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DA95245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3C5E061" w14:textId="77777777" w:rsidR="009C3F7A" w:rsidRPr="0007095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93DD5BB" w14:textId="77777777" w:rsidR="009C3F7A" w:rsidRPr="00070952" w:rsidRDefault="009C3F7A" w:rsidP="0097243F">
            <w:pPr>
              <w:rPr>
                <w:lang w:val="fr-FR"/>
              </w:rPr>
            </w:pPr>
          </w:p>
        </w:tc>
      </w:tr>
    </w:tbl>
    <w:p w14:paraId="42C17A5A" w14:textId="77777777" w:rsidR="009C3F7A" w:rsidRPr="00070952" w:rsidRDefault="009C3F7A" w:rsidP="00AE035F">
      <w:pPr>
        <w:rPr>
          <w:lang w:val="fr-FR"/>
        </w:rPr>
      </w:pPr>
    </w:p>
    <w:p w14:paraId="137FAD7C" w14:textId="77777777" w:rsidR="009C3F7A" w:rsidRPr="00070952" w:rsidRDefault="009C3F7A" w:rsidP="00AE035F">
      <w:pPr>
        <w:rPr>
          <w:lang w:val="fr-FR"/>
        </w:rPr>
      </w:pPr>
    </w:p>
    <w:p w14:paraId="242F18E8" w14:textId="77777777" w:rsidR="00AE035F" w:rsidRPr="00070952" w:rsidRDefault="00070952" w:rsidP="00AE035F">
      <w:pPr>
        <w:rPr>
          <w:b/>
          <w:sz w:val="28"/>
          <w:szCs w:val="28"/>
          <w:lang w:val="fr-FR"/>
        </w:rPr>
      </w:pPr>
      <w:r w:rsidRPr="00070952">
        <w:rPr>
          <w:b/>
          <w:sz w:val="28"/>
          <w:lang w:val="fr-FR"/>
        </w:rPr>
        <w:t>Table des matières</w:t>
      </w:r>
    </w:p>
    <w:p w14:paraId="49ADE0B4" w14:textId="6AE15D1B" w:rsidR="00E20FAD" w:rsidRDefault="00755446" w:rsidP="00E20FAD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070952">
        <w:rPr>
          <w:lang w:val="fr-FR"/>
        </w:rPr>
        <w:fldChar w:fldCharType="begin"/>
      </w:r>
      <w:r w:rsidR="00175092" w:rsidRPr="00070952">
        <w:rPr>
          <w:lang w:val="fr-FR"/>
        </w:rPr>
        <w:instrText xml:space="preserve"> TOC \o "1-3" \h \z \u </w:instrText>
      </w:r>
      <w:r w:rsidRPr="00070952">
        <w:rPr>
          <w:lang w:val="fr-FR"/>
        </w:rPr>
        <w:fldChar w:fldCharType="separate"/>
      </w:r>
      <w:hyperlink w:anchor="_Toc455407361" w:history="1">
        <w:r w:rsidR="00E20FAD" w:rsidRPr="00884639">
          <w:rPr>
            <w:rStyle w:val="Hiperveza"/>
            <w:noProof/>
            <w:lang w:val="fr-FR"/>
          </w:rPr>
          <w:t>1.</w:t>
        </w:r>
        <w:r w:rsidR="00E20FA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But, domaine d’application et audience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_Toc455407361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3</w:t>
        </w:r>
        <w:r w:rsidR="00E20FAD">
          <w:rPr>
            <w:noProof/>
            <w:webHidden/>
          </w:rPr>
          <w:fldChar w:fldCharType="end"/>
        </w:r>
      </w:hyperlink>
    </w:p>
    <w:p w14:paraId="2E922E96" w14:textId="429350AC" w:rsidR="00E20FAD" w:rsidRDefault="00AF0374" w:rsidP="00E20FAD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7362" w:history="1">
        <w:r w:rsidR="00E20FAD" w:rsidRPr="00884639">
          <w:rPr>
            <w:rStyle w:val="Hiperveza"/>
            <w:noProof/>
            <w:lang w:val="fr-FR"/>
          </w:rPr>
          <w:t>2.</w:t>
        </w:r>
        <w:r w:rsidR="00E20FA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Documents référencés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_Toc455407362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3</w:t>
        </w:r>
        <w:r w:rsidR="00E20FAD">
          <w:rPr>
            <w:noProof/>
            <w:webHidden/>
          </w:rPr>
          <w:fldChar w:fldCharType="end"/>
        </w:r>
      </w:hyperlink>
    </w:p>
    <w:p w14:paraId="3911F820" w14:textId="1516A041" w:rsidR="00E20FAD" w:rsidRDefault="00AF0374" w:rsidP="00E20FAD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7363" w:history="1">
        <w:r w:rsidR="00E20FAD" w:rsidRPr="00884639">
          <w:rPr>
            <w:rStyle w:val="Hiperveza"/>
            <w:noProof/>
            <w:lang w:val="fr-FR"/>
          </w:rPr>
          <w:t>3.</w:t>
        </w:r>
        <w:r w:rsidR="00E20FA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Gestion des piles et accumulateurs usagés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_Toc455407363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3</w:t>
        </w:r>
        <w:r w:rsidR="00E20FAD">
          <w:rPr>
            <w:noProof/>
            <w:webHidden/>
          </w:rPr>
          <w:fldChar w:fldCharType="end"/>
        </w:r>
      </w:hyperlink>
    </w:p>
    <w:p w14:paraId="0168AFFB" w14:textId="7C2E3D92" w:rsidR="00E20FAD" w:rsidRDefault="00AF037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7364" w:history="1">
        <w:r w:rsidR="00E20FAD" w:rsidRPr="00884639">
          <w:rPr>
            <w:rStyle w:val="Hiperveza"/>
            <w:noProof/>
            <w:lang w:val="fr-FR"/>
          </w:rPr>
          <w:t>3.1.</w:t>
        </w:r>
        <w:r w:rsidR="00E20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Classification des piles et des accumulateurs usagés sur le lieu de génération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_Toc455407364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3</w:t>
        </w:r>
        <w:r w:rsidR="00E20FAD">
          <w:rPr>
            <w:noProof/>
            <w:webHidden/>
          </w:rPr>
          <w:fldChar w:fldCharType="end"/>
        </w:r>
      </w:hyperlink>
    </w:p>
    <w:p w14:paraId="2833E72F" w14:textId="58043A0D" w:rsidR="00E20FAD" w:rsidRDefault="00AF037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7365" w:history="1">
        <w:r w:rsidR="00E20FAD" w:rsidRPr="00884639">
          <w:rPr>
            <w:rStyle w:val="Hiperveza"/>
            <w:noProof/>
            <w:lang w:val="fr-FR"/>
          </w:rPr>
          <w:t>3.2.</w:t>
        </w:r>
        <w:r w:rsidR="00E20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Entreposage temporaire des piles et accumulateurs usagés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_Toc455407365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3</w:t>
        </w:r>
        <w:r w:rsidR="00E20FAD">
          <w:rPr>
            <w:noProof/>
            <w:webHidden/>
          </w:rPr>
          <w:fldChar w:fldCharType="end"/>
        </w:r>
      </w:hyperlink>
    </w:p>
    <w:p w14:paraId="6A38B5FD" w14:textId="199AA8FB" w:rsidR="00E20FAD" w:rsidRDefault="00AF037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7366" w:history="1">
        <w:r w:rsidR="00E20FAD" w:rsidRPr="00884639">
          <w:rPr>
            <w:rStyle w:val="Hiperveza"/>
            <w:noProof/>
            <w:lang w:val="fr-FR"/>
          </w:rPr>
          <w:t>3.3.</w:t>
        </w:r>
        <w:r w:rsidR="00E20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Déploiement des piles et des accumulateurs usagés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_Toc455407366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4</w:t>
        </w:r>
        <w:r w:rsidR="00E20FAD">
          <w:rPr>
            <w:noProof/>
            <w:webHidden/>
          </w:rPr>
          <w:fldChar w:fldCharType="end"/>
        </w:r>
      </w:hyperlink>
    </w:p>
    <w:p w14:paraId="1CAA8DEE" w14:textId="75DEBFDF" w:rsidR="00E20FAD" w:rsidRDefault="00AF0374" w:rsidP="00E20FAD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7367" w:history="1">
        <w:r w:rsidR="00E20FAD" w:rsidRPr="00884639">
          <w:rPr>
            <w:rStyle w:val="Hiperveza"/>
            <w:noProof/>
            <w:lang w:val="fr-FR"/>
          </w:rPr>
          <w:t>4.</w:t>
        </w:r>
        <w:r w:rsidR="00E20FA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E20FAD" w:rsidRPr="00884639">
          <w:rPr>
            <w:rStyle w:val="Hiperveza"/>
            <w:noProof/>
            <w:lang w:val="fr-FR"/>
          </w:rPr>
          <w:t>Gestion des enregistrements conservés sur la base de ce document</w:t>
        </w:r>
        <w:r w:rsidR="00E20FAD">
          <w:rPr>
            <w:noProof/>
            <w:webHidden/>
          </w:rPr>
          <w:tab/>
        </w:r>
        <w:r w:rsidR="00E20FAD">
          <w:rPr>
            <w:noProof/>
            <w:webHidden/>
          </w:rPr>
          <w:fldChar w:fldCharType="begin"/>
        </w:r>
        <w:r w:rsidR="00E20FAD">
          <w:rPr>
            <w:noProof/>
            <w:webHidden/>
          </w:rPr>
          <w:instrText xml:space="preserve"> PAGEREF _Toc455407367 \h </w:instrText>
        </w:r>
        <w:r w:rsidR="00E20FAD">
          <w:rPr>
            <w:noProof/>
            <w:webHidden/>
          </w:rPr>
        </w:r>
        <w:r w:rsidR="00E20FAD">
          <w:rPr>
            <w:noProof/>
            <w:webHidden/>
          </w:rPr>
          <w:fldChar w:fldCharType="separate"/>
        </w:r>
        <w:r w:rsidR="00E20FAD">
          <w:rPr>
            <w:noProof/>
            <w:webHidden/>
          </w:rPr>
          <w:t>4</w:t>
        </w:r>
        <w:r w:rsidR="00E20FAD">
          <w:rPr>
            <w:noProof/>
            <w:webHidden/>
          </w:rPr>
          <w:fldChar w:fldCharType="end"/>
        </w:r>
      </w:hyperlink>
    </w:p>
    <w:p w14:paraId="63D2AEF2" w14:textId="46F89661" w:rsidR="007C3F3D" w:rsidRPr="00070952" w:rsidRDefault="00755446">
      <w:pPr>
        <w:rPr>
          <w:lang w:val="fr-FR"/>
        </w:rPr>
      </w:pPr>
      <w:r w:rsidRPr="00070952">
        <w:rPr>
          <w:lang w:val="fr-FR"/>
        </w:rPr>
        <w:fldChar w:fldCharType="end"/>
      </w:r>
    </w:p>
    <w:p w14:paraId="248E686F" w14:textId="77777777" w:rsidR="00AE035F" w:rsidRPr="00070952" w:rsidRDefault="00AE035F" w:rsidP="00AE035F">
      <w:pPr>
        <w:rPr>
          <w:lang w:val="fr-FR"/>
        </w:rPr>
      </w:pPr>
    </w:p>
    <w:p w14:paraId="06494118" w14:textId="77777777" w:rsidR="00AE035F" w:rsidRPr="00070952" w:rsidRDefault="00AE035F" w:rsidP="00AE035F">
      <w:pPr>
        <w:rPr>
          <w:lang w:val="fr-FR"/>
        </w:rPr>
      </w:pPr>
    </w:p>
    <w:p w14:paraId="4352F63B" w14:textId="77777777" w:rsidR="00AE035F" w:rsidRPr="00070952" w:rsidRDefault="00AE035F" w:rsidP="00AE035F">
      <w:pPr>
        <w:rPr>
          <w:lang w:val="fr-FR"/>
        </w:rPr>
      </w:pPr>
    </w:p>
    <w:p w14:paraId="60BD1E55" w14:textId="77777777" w:rsidR="00AE035F" w:rsidRPr="00070952" w:rsidRDefault="00175092" w:rsidP="00AE035F">
      <w:pPr>
        <w:pStyle w:val="Naslov1"/>
        <w:rPr>
          <w:lang w:val="fr-FR"/>
        </w:rPr>
      </w:pPr>
      <w:r w:rsidRPr="00070952">
        <w:rPr>
          <w:lang w:val="fr-FR"/>
        </w:rPr>
        <w:br w:type="page"/>
      </w:r>
      <w:bookmarkStart w:id="4" w:name="_Toc263078249"/>
      <w:bookmarkStart w:id="5" w:name="_Toc455407361"/>
      <w:r w:rsidR="00070952">
        <w:rPr>
          <w:lang w:val="fr-FR"/>
        </w:rPr>
        <w:lastRenderedPageBreak/>
        <w:t>But, domaine d’application et audience</w:t>
      </w:r>
      <w:bookmarkEnd w:id="4"/>
      <w:bookmarkEnd w:id="5"/>
    </w:p>
    <w:p w14:paraId="5241881B" w14:textId="77777777" w:rsidR="006C3497" w:rsidRPr="00D033E0" w:rsidRDefault="00070952" w:rsidP="00DF09C9">
      <w:pPr>
        <w:rPr>
          <w:lang w:val="fr-FR"/>
        </w:rPr>
      </w:pPr>
      <w:r w:rsidRPr="00D033E0">
        <w:rPr>
          <w:lang w:val="fr-FR"/>
        </w:rPr>
        <w:t>Le but de ce document est de définir le processus de classification</w:t>
      </w:r>
      <w:r w:rsidR="00D033E0" w:rsidRPr="00D033E0">
        <w:rPr>
          <w:lang w:val="fr-FR"/>
        </w:rPr>
        <w:t xml:space="preserve"> sur le lieu de génération, d’entreposage temporaire et de déploiement des piles et des accumulateurs usagés</w:t>
      </w:r>
      <w:r w:rsidR="006C3497" w:rsidRPr="00D033E0">
        <w:rPr>
          <w:lang w:val="fr-FR"/>
        </w:rPr>
        <w:t>.</w:t>
      </w:r>
    </w:p>
    <w:p w14:paraId="370F5CDC" w14:textId="782BB9F5" w:rsidR="00DF09C9" w:rsidRPr="00070952" w:rsidRDefault="00D033E0" w:rsidP="00DF09C9">
      <w:pPr>
        <w:rPr>
          <w:lang w:val="fr-FR"/>
        </w:rPr>
      </w:pPr>
      <w:r>
        <w:rPr>
          <w:lang w:val="fr-FR"/>
        </w:rPr>
        <w:t>Ce document s’applique à toutes les activités et processus de</w:t>
      </w:r>
      <w:r w:rsidR="00874A0E" w:rsidRPr="00070952">
        <w:rPr>
          <w:lang w:val="fr-FR"/>
        </w:rPr>
        <w:t xml:space="preserve"> [</w:t>
      </w:r>
      <w:r>
        <w:rPr>
          <w:lang w:val="fr-FR"/>
        </w:rPr>
        <w:t>nom de l’organis</w:t>
      </w:r>
      <w:r w:rsidR="00874A0E" w:rsidRPr="00070952">
        <w:rPr>
          <w:lang w:val="fr-FR"/>
        </w:rPr>
        <w:t xml:space="preserve">me] </w:t>
      </w:r>
      <w:r>
        <w:rPr>
          <w:lang w:val="fr-FR"/>
        </w:rPr>
        <w:t>qui génère</w:t>
      </w:r>
      <w:r w:rsidR="00F3699D">
        <w:rPr>
          <w:lang w:val="fr-FR"/>
        </w:rPr>
        <w:t>nt</w:t>
      </w:r>
      <w:r>
        <w:rPr>
          <w:lang w:val="fr-FR"/>
        </w:rPr>
        <w:t xml:space="preserve"> des piles et des accumulateurs usagé</w:t>
      </w:r>
      <w:r w:rsidR="00874A0E" w:rsidRPr="00070952">
        <w:rPr>
          <w:lang w:val="fr-FR"/>
        </w:rPr>
        <w:t xml:space="preserve">s. </w:t>
      </w:r>
      <w:r w:rsidR="006C3497" w:rsidRPr="00070952">
        <w:rPr>
          <w:lang w:val="fr-FR"/>
        </w:rPr>
        <w:t xml:space="preserve"> </w:t>
      </w:r>
    </w:p>
    <w:p w14:paraId="636A30B9" w14:textId="77777777" w:rsidR="00AE035F" w:rsidRPr="00070952" w:rsidRDefault="00D033E0" w:rsidP="00AE035F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175092" w:rsidRPr="00070952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175092" w:rsidRPr="00070952">
        <w:rPr>
          <w:lang w:val="fr-FR"/>
        </w:rPr>
        <w:t xml:space="preserve">]. </w:t>
      </w:r>
    </w:p>
    <w:p w14:paraId="7BDC0A03" w14:textId="77777777" w:rsidR="00AE035F" w:rsidRPr="00070952" w:rsidRDefault="00AE035F" w:rsidP="00AE035F">
      <w:pPr>
        <w:rPr>
          <w:lang w:val="fr-FR"/>
        </w:rPr>
      </w:pPr>
    </w:p>
    <w:p w14:paraId="43790901" w14:textId="77777777" w:rsidR="00AE035F" w:rsidRPr="00070952" w:rsidRDefault="00070952" w:rsidP="00AE035F">
      <w:pPr>
        <w:pStyle w:val="Naslov1"/>
        <w:rPr>
          <w:lang w:val="fr-FR"/>
        </w:rPr>
      </w:pPr>
      <w:bookmarkStart w:id="6" w:name="_Toc263078250"/>
      <w:bookmarkStart w:id="7" w:name="_Toc455407362"/>
      <w:r>
        <w:rPr>
          <w:lang w:val="fr-FR"/>
        </w:rPr>
        <w:t>D</w:t>
      </w:r>
      <w:r w:rsidR="00175092" w:rsidRPr="00070952">
        <w:rPr>
          <w:lang w:val="fr-FR"/>
        </w:rPr>
        <w:t>ocuments</w:t>
      </w:r>
      <w:bookmarkEnd w:id="6"/>
      <w:r>
        <w:rPr>
          <w:lang w:val="fr-FR"/>
        </w:rPr>
        <w:t xml:space="preserve"> référencés</w:t>
      </w:r>
      <w:bookmarkEnd w:id="7"/>
    </w:p>
    <w:p w14:paraId="155B4535" w14:textId="77777777" w:rsidR="00AE035F" w:rsidRPr="00070952" w:rsidRDefault="00D033E0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070952">
        <w:rPr>
          <w:lang w:val="fr-FR"/>
        </w:rPr>
        <w:t xml:space="preserve">ISO </w:t>
      </w:r>
      <w:r w:rsidR="00C50638" w:rsidRPr="00070952">
        <w:rPr>
          <w:lang w:val="fr-FR"/>
        </w:rPr>
        <w:t>14001</w:t>
      </w:r>
      <w:r w:rsidR="00834995" w:rsidRPr="00070952">
        <w:rPr>
          <w:lang w:val="fr-FR"/>
        </w:rPr>
        <w:t>:2015</w:t>
      </w:r>
      <w:r w:rsidR="00175092" w:rsidRPr="00070952">
        <w:rPr>
          <w:lang w:val="fr-FR"/>
        </w:rPr>
        <w:t xml:space="preserve">, clause </w:t>
      </w:r>
      <w:r w:rsidR="00834995" w:rsidRPr="00070952">
        <w:rPr>
          <w:lang w:val="fr-FR"/>
        </w:rPr>
        <w:t>8.1</w:t>
      </w:r>
    </w:p>
    <w:p w14:paraId="697AAD8F" w14:textId="77777777" w:rsidR="00356477" w:rsidRPr="00070952" w:rsidRDefault="00D033E0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226146B4" w14:textId="77777777" w:rsidR="00ED61FD" w:rsidRPr="00070952" w:rsidRDefault="00D033E0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08E2359F" w14:textId="77777777" w:rsidR="00ED61FD" w:rsidRPr="00070952" w:rsidRDefault="00D033E0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Objectifs et cibles environnementaux</w:t>
      </w:r>
    </w:p>
    <w:p w14:paraId="692FBA26" w14:textId="77777777" w:rsidR="00ED61FD" w:rsidRPr="00070952" w:rsidRDefault="00D033E0" w:rsidP="00AE035F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>Procédure pour l'identification et l'év</w:t>
      </w:r>
      <w:r>
        <w:rPr>
          <w:lang w:val="fr-FR"/>
        </w:rPr>
        <w:t>aluation des aspects environnementaux</w:t>
      </w:r>
    </w:p>
    <w:p w14:paraId="67053625" w14:textId="77777777" w:rsidR="005736F4" w:rsidRPr="00070952" w:rsidRDefault="00D033E0" w:rsidP="00AE035F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4DFB0A53" w14:textId="77777777" w:rsidR="00ED61FD" w:rsidRPr="00070952" w:rsidRDefault="00D033E0" w:rsidP="00B92897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32C7E6AC" w14:textId="77777777" w:rsidR="00B92897" w:rsidRPr="00070952" w:rsidRDefault="00B92897" w:rsidP="00B92897">
      <w:pPr>
        <w:spacing w:before="240"/>
        <w:rPr>
          <w:lang w:val="fr-FR"/>
        </w:rPr>
      </w:pPr>
    </w:p>
    <w:p w14:paraId="39E92A21" w14:textId="77777777" w:rsidR="00AE035F" w:rsidRPr="00070952" w:rsidRDefault="00070952" w:rsidP="00AE035F">
      <w:pPr>
        <w:pStyle w:val="Naslov1"/>
        <w:rPr>
          <w:lang w:val="fr-FR"/>
        </w:rPr>
      </w:pPr>
      <w:bookmarkStart w:id="8" w:name="_Toc455407363"/>
      <w:r>
        <w:rPr>
          <w:lang w:val="fr-FR"/>
        </w:rPr>
        <w:t>Gestion des piles et accumulateurs usagés</w:t>
      </w:r>
      <w:bookmarkEnd w:id="8"/>
    </w:p>
    <w:p w14:paraId="4101FF11" w14:textId="77777777" w:rsidR="005736F4" w:rsidRPr="00070952" w:rsidRDefault="00D033E0" w:rsidP="00875876">
      <w:pPr>
        <w:rPr>
          <w:lang w:val="fr-FR"/>
        </w:rPr>
      </w:pPr>
      <w:r>
        <w:rPr>
          <w:lang w:val="fr-FR"/>
        </w:rPr>
        <w:t>Les piles et les accumulateurs sont des sources d’énergie électrique produites par une conversion directe d’énergie chimique</w:t>
      </w:r>
      <w:r w:rsidR="005736F4" w:rsidRPr="00070952">
        <w:rPr>
          <w:lang w:val="fr-FR"/>
        </w:rPr>
        <w:t>,</w:t>
      </w:r>
      <w:r w:rsidR="00D06B72" w:rsidRPr="00070952">
        <w:rPr>
          <w:lang w:val="fr-FR"/>
        </w:rPr>
        <w:t xml:space="preserve"> </w:t>
      </w:r>
      <w:r>
        <w:rPr>
          <w:lang w:val="fr-FR"/>
        </w:rPr>
        <w:t>qui se compose d’une ou plusieurs cellules de pile primaire ou une ou plusieurs cellules de pile secondaire</w:t>
      </w:r>
      <w:r w:rsidR="00D06B72" w:rsidRPr="00070952">
        <w:rPr>
          <w:lang w:val="fr-FR"/>
        </w:rPr>
        <w:t>.</w:t>
      </w:r>
    </w:p>
    <w:p w14:paraId="04A3092B" w14:textId="77777777" w:rsidR="00B61269" w:rsidRPr="00E20FAD" w:rsidRDefault="005736F4" w:rsidP="005736F4">
      <w:pPr>
        <w:pStyle w:val="Naslov2"/>
        <w:rPr>
          <w:sz w:val="28"/>
          <w:lang w:val="fr-FR"/>
        </w:rPr>
      </w:pPr>
      <w:r w:rsidRPr="00E20FAD">
        <w:rPr>
          <w:szCs w:val="22"/>
          <w:lang w:val="fr-FR"/>
        </w:rPr>
        <w:t xml:space="preserve"> </w:t>
      </w:r>
      <w:bookmarkStart w:id="9" w:name="_Toc455407364"/>
      <w:r w:rsidR="00070952" w:rsidRPr="00E20FAD">
        <w:rPr>
          <w:szCs w:val="22"/>
          <w:lang w:val="fr-FR"/>
        </w:rPr>
        <w:t>Classification des piles et des accumulateurs usagés sur le lieu de génération</w:t>
      </w:r>
      <w:bookmarkEnd w:id="9"/>
    </w:p>
    <w:p w14:paraId="7DA36FDD" w14:textId="77777777" w:rsidR="00316123" w:rsidRPr="00D033E0" w:rsidRDefault="00D033E0" w:rsidP="00875876">
      <w:pPr>
        <w:rPr>
          <w:b/>
          <w:lang w:val="fr-FR"/>
        </w:rPr>
      </w:pPr>
      <w:r w:rsidRPr="00D033E0">
        <w:rPr>
          <w:lang w:val="fr-FR"/>
        </w:rPr>
        <w:t>Les piles, piles bouton et accumulateurs sont marqués et classés par</w:t>
      </w:r>
      <w:r w:rsidR="00A11102" w:rsidRPr="00D033E0">
        <w:rPr>
          <w:lang w:val="fr-FR"/>
        </w:rPr>
        <w:t xml:space="preserve"> [</w:t>
      </w:r>
      <w:r>
        <w:rPr>
          <w:lang w:val="fr-FR"/>
        </w:rPr>
        <w:t>titre du post</w:t>
      </w:r>
      <w:r w:rsidR="00A11102" w:rsidRPr="00D033E0">
        <w:rPr>
          <w:lang w:val="fr-FR"/>
        </w:rPr>
        <w:t>e]</w:t>
      </w:r>
      <w:r w:rsidR="00A11102" w:rsidRPr="00D033E0">
        <w:rPr>
          <w:b/>
          <w:lang w:val="fr-FR"/>
        </w:rPr>
        <w:t xml:space="preserve"> </w:t>
      </w:r>
      <w:r w:rsidR="00A22E92">
        <w:rPr>
          <w:lang w:val="fr-FR"/>
        </w:rPr>
        <w:t>selon le teneur en substances dangereuses (mercure</w:t>
      </w:r>
      <w:r w:rsidR="00D06B72" w:rsidRPr="00D033E0">
        <w:rPr>
          <w:lang w:val="fr-FR"/>
        </w:rPr>
        <w:t>, cadmium</w:t>
      </w:r>
      <w:r w:rsidR="00F02B2C" w:rsidRPr="00D033E0">
        <w:rPr>
          <w:lang w:val="fr-FR"/>
        </w:rPr>
        <w:t>,</w:t>
      </w:r>
      <w:r w:rsidR="00A22E92">
        <w:rPr>
          <w:lang w:val="fr-FR"/>
        </w:rPr>
        <w:t xml:space="preserve"> et plomb</w:t>
      </w:r>
      <w:r w:rsidR="00D06B72" w:rsidRPr="00D033E0">
        <w:rPr>
          <w:lang w:val="fr-FR"/>
        </w:rPr>
        <w:t>)</w:t>
      </w:r>
      <w:r w:rsidR="005736F4" w:rsidRPr="00D033E0">
        <w:rPr>
          <w:lang w:val="fr-FR"/>
        </w:rPr>
        <w:t xml:space="preserve">. </w:t>
      </w:r>
    </w:p>
    <w:p w14:paraId="020768CD" w14:textId="77777777" w:rsidR="00AC1FD8" w:rsidRPr="00070952" w:rsidRDefault="00070952" w:rsidP="005736F4">
      <w:pPr>
        <w:pStyle w:val="Naslov2"/>
        <w:rPr>
          <w:lang w:val="fr-FR"/>
        </w:rPr>
      </w:pPr>
      <w:bookmarkStart w:id="10" w:name="_Toc455407365"/>
      <w:r>
        <w:rPr>
          <w:lang w:val="fr-FR"/>
        </w:rPr>
        <w:t>Entreposage temporaire des piles et accumulateurs usagés</w:t>
      </w:r>
      <w:bookmarkEnd w:id="10"/>
    </w:p>
    <w:p w14:paraId="18F6C9F2" w14:textId="77777777" w:rsidR="00061F06" w:rsidRDefault="00061F06" w:rsidP="00061F06">
      <w:pPr>
        <w:jc w:val="center"/>
      </w:pPr>
    </w:p>
    <w:p w14:paraId="67C597CF" w14:textId="5C17557C" w:rsidR="00061F06" w:rsidRDefault="00061F06" w:rsidP="00061F06">
      <w:pPr>
        <w:jc w:val="center"/>
      </w:pPr>
    </w:p>
    <w:p w14:paraId="06376B2A" w14:textId="77777777" w:rsidR="00061F06" w:rsidRDefault="00061F06" w:rsidP="00061F06">
      <w:pPr>
        <w:jc w:val="center"/>
      </w:pPr>
      <w:bookmarkStart w:id="11" w:name="_GoBack"/>
      <w:bookmarkEnd w:id="11"/>
    </w:p>
    <w:p w14:paraId="010D645A" w14:textId="5DBAF13D" w:rsidR="00061F06" w:rsidRPr="00061F06" w:rsidRDefault="00061F06" w:rsidP="00061F06">
      <w:pPr>
        <w:jc w:val="center"/>
        <w:rPr>
          <w:lang w:val="fr-FR"/>
        </w:rPr>
      </w:pPr>
      <w:r w:rsidRPr="00061F06">
        <w:rPr>
          <w:lang w:val="fr-FR"/>
        </w:rPr>
        <w:t>** FIN DE L'APERCU GRATUIT **</w:t>
      </w:r>
    </w:p>
    <w:p w14:paraId="4E4E3543" w14:textId="037DF787" w:rsidR="007B2954" w:rsidRPr="00070952" w:rsidRDefault="00061F06" w:rsidP="00061F06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CF0A3E">
          <w:rPr>
            <w:rStyle w:val="Hiperveza"/>
            <w:lang w:val="fr-FR"/>
          </w:rPr>
          <w:t>http://advisera.com/14001academy/fr/documentation/ligne-directrice-pour-la-gestion-des-piles-et-des-accumulateurs-usages/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7B2954" w:rsidRPr="00070952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058B756A" w14:textId="77777777" w:rsidR="00010F36" w:rsidRPr="0007095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070952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09T12:58:00Z" w:initials="14A">
    <w:p w14:paraId="522410C4" w14:textId="77777777" w:rsidR="00010F36" w:rsidRPr="0007095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070952" w:rsidRPr="007D70E2">
        <w:rPr>
          <w:lang w:val="fr-FR"/>
        </w:rPr>
        <w:t>Adaptez aux pratiques existantes de l’organisme.</w:t>
      </w:r>
    </w:p>
  </w:comment>
  <w:comment w:id="3" w:author="14001Academy" w:date="2014-11-09T12:58:00Z" w:initials="14A">
    <w:p w14:paraId="4CA3FDF4" w14:textId="77777777" w:rsidR="00010F36" w:rsidRPr="0007095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070952" w:rsidRPr="00D343A9">
        <w:rPr>
          <w:lang w:val="fr-FR"/>
        </w:rPr>
        <w:t>Cela est uniquement nécessaire si les documents sont sous forme papier ; sinon ce tableau devrait être supprimé</w:t>
      </w:r>
      <w:r w:rsidR="00070952" w:rsidRPr="00070952">
        <w:rPr>
          <w:lang w:val="fr-FR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8B756A" w15:done="0"/>
  <w15:commentEx w15:paraId="522410C4" w15:done="0"/>
  <w15:commentEx w15:paraId="4CA3FDF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5AD8" w14:textId="77777777" w:rsidR="00AF0374" w:rsidRDefault="00AF0374" w:rsidP="00AE035F">
      <w:pPr>
        <w:spacing w:after="0" w:line="240" w:lineRule="auto"/>
      </w:pPr>
      <w:r>
        <w:separator/>
      </w:r>
    </w:p>
  </w:endnote>
  <w:endnote w:type="continuationSeparator" w:id="0">
    <w:p w14:paraId="5C32CD9A" w14:textId="77777777" w:rsidR="00AF0374" w:rsidRDefault="00AF037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922991" w14:paraId="59ECE30C" w14:textId="77777777" w:rsidTr="007C3F3D">
      <w:tc>
        <w:tcPr>
          <w:tcW w:w="3369" w:type="dxa"/>
        </w:tcPr>
        <w:p w14:paraId="652B6F53" w14:textId="77777777" w:rsidR="00010F36" w:rsidRPr="00922991" w:rsidRDefault="00070952" w:rsidP="00F02560">
          <w:pPr>
            <w:pStyle w:val="Podnoje"/>
            <w:rPr>
              <w:sz w:val="18"/>
              <w:szCs w:val="18"/>
              <w:lang w:val="fr-FR"/>
            </w:rPr>
          </w:pPr>
          <w:r w:rsidRPr="00922991">
            <w:rPr>
              <w:sz w:val="18"/>
              <w:lang w:val="fr-FR"/>
            </w:rPr>
            <w:t>Annexe</w:t>
          </w:r>
          <w:r w:rsidR="00AB0024" w:rsidRPr="00922991">
            <w:rPr>
              <w:sz w:val="18"/>
              <w:lang w:val="fr-FR"/>
            </w:rPr>
            <w:t xml:space="preserve"> 7 </w:t>
          </w:r>
          <w:r w:rsidR="00724274" w:rsidRPr="00922991">
            <w:rPr>
              <w:sz w:val="18"/>
              <w:lang w:val="fr-FR"/>
            </w:rPr>
            <w:t xml:space="preserve">– </w:t>
          </w:r>
          <w:r w:rsidRPr="00922991">
            <w:rPr>
              <w:sz w:val="18"/>
              <w:lang w:val="fr-FR"/>
            </w:rPr>
            <w:t>Ligne directrice pour la gestion des piles et des accumulateurs usagés</w:t>
          </w:r>
        </w:p>
      </w:tc>
      <w:tc>
        <w:tcPr>
          <w:tcW w:w="2268" w:type="dxa"/>
        </w:tcPr>
        <w:p w14:paraId="4E5AAE4D" w14:textId="77777777" w:rsidR="00010F36" w:rsidRPr="00922991" w:rsidRDefault="00010F36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922991">
            <w:rPr>
              <w:sz w:val="18"/>
              <w:lang w:val="fr-FR"/>
            </w:rPr>
            <w:t>ver</w:t>
          </w:r>
          <w:r w:rsidR="00070952" w:rsidRPr="00922991">
            <w:rPr>
              <w:sz w:val="18"/>
              <w:lang w:val="fr-FR"/>
            </w:rPr>
            <w:t xml:space="preserve"> [version] de</w:t>
          </w:r>
          <w:r w:rsidRPr="00922991">
            <w:rPr>
              <w:sz w:val="18"/>
              <w:lang w:val="fr-FR"/>
            </w:rPr>
            <w:t xml:space="preserve"> [date]</w:t>
          </w:r>
        </w:p>
      </w:tc>
      <w:tc>
        <w:tcPr>
          <w:tcW w:w="3685" w:type="dxa"/>
        </w:tcPr>
        <w:p w14:paraId="07DD9013" w14:textId="31B490DF" w:rsidR="00010F36" w:rsidRPr="00922991" w:rsidRDefault="00010F36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922991">
            <w:rPr>
              <w:sz w:val="18"/>
              <w:lang w:val="fr-FR"/>
            </w:rPr>
            <w:t xml:space="preserve">Page </w:t>
          </w:r>
          <w:r w:rsidR="00755446" w:rsidRPr="00922991">
            <w:rPr>
              <w:b/>
              <w:sz w:val="18"/>
              <w:lang w:val="fr-FR"/>
            </w:rPr>
            <w:fldChar w:fldCharType="begin"/>
          </w:r>
          <w:r w:rsidRPr="00922991">
            <w:rPr>
              <w:b/>
              <w:sz w:val="18"/>
              <w:lang w:val="fr-FR"/>
            </w:rPr>
            <w:instrText xml:space="preserve"> PAGE </w:instrText>
          </w:r>
          <w:r w:rsidR="00755446" w:rsidRPr="00922991">
            <w:rPr>
              <w:b/>
              <w:sz w:val="18"/>
              <w:lang w:val="fr-FR"/>
            </w:rPr>
            <w:fldChar w:fldCharType="separate"/>
          </w:r>
          <w:r w:rsidR="00061F06">
            <w:rPr>
              <w:b/>
              <w:noProof/>
              <w:sz w:val="18"/>
              <w:lang w:val="fr-FR"/>
            </w:rPr>
            <w:t>3</w:t>
          </w:r>
          <w:r w:rsidR="00755446" w:rsidRPr="00922991">
            <w:rPr>
              <w:b/>
              <w:sz w:val="18"/>
              <w:lang w:val="fr-FR"/>
            </w:rPr>
            <w:fldChar w:fldCharType="end"/>
          </w:r>
          <w:r w:rsidR="00070952" w:rsidRPr="00922991">
            <w:rPr>
              <w:sz w:val="18"/>
              <w:lang w:val="fr-FR"/>
            </w:rPr>
            <w:t xml:space="preserve"> de</w:t>
          </w:r>
          <w:r w:rsidRPr="00922991">
            <w:rPr>
              <w:sz w:val="18"/>
              <w:lang w:val="fr-FR"/>
            </w:rPr>
            <w:t xml:space="preserve"> </w:t>
          </w:r>
          <w:r w:rsidR="00755446" w:rsidRPr="00922991">
            <w:rPr>
              <w:b/>
              <w:sz w:val="18"/>
              <w:lang w:val="fr-FR"/>
            </w:rPr>
            <w:fldChar w:fldCharType="begin"/>
          </w:r>
          <w:r w:rsidRPr="00922991">
            <w:rPr>
              <w:b/>
              <w:sz w:val="18"/>
              <w:lang w:val="fr-FR"/>
            </w:rPr>
            <w:instrText xml:space="preserve"> NUMPAGES  </w:instrText>
          </w:r>
          <w:r w:rsidR="00755446" w:rsidRPr="00922991">
            <w:rPr>
              <w:b/>
              <w:sz w:val="18"/>
              <w:lang w:val="fr-FR"/>
            </w:rPr>
            <w:fldChar w:fldCharType="separate"/>
          </w:r>
          <w:r w:rsidR="00061F06">
            <w:rPr>
              <w:b/>
              <w:noProof/>
              <w:sz w:val="18"/>
              <w:lang w:val="fr-FR"/>
            </w:rPr>
            <w:t>3</w:t>
          </w:r>
          <w:r w:rsidR="00755446" w:rsidRPr="00922991">
            <w:rPr>
              <w:b/>
              <w:sz w:val="18"/>
              <w:lang w:val="fr-FR"/>
            </w:rPr>
            <w:fldChar w:fldCharType="end"/>
          </w:r>
        </w:p>
      </w:tc>
    </w:tr>
  </w:tbl>
  <w:p w14:paraId="6FCF1B66" w14:textId="2CA68195" w:rsidR="00010F36" w:rsidRPr="00070952" w:rsidRDefault="00280F8B" w:rsidP="0007095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07095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070952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433B0" w14:textId="2895FD18" w:rsidR="00010F36" w:rsidRPr="00070952" w:rsidRDefault="00280F8B" w:rsidP="0007095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2" w:name="_Hlk433129638"/>
    <w:bookmarkStart w:id="13" w:name="OLE_LINK4"/>
    <w:bookmarkStart w:id="14" w:name="OLE_LINK3"/>
    <w:r>
      <w:rPr>
        <w:rFonts w:eastAsia="Times New Roman"/>
        <w:sz w:val="16"/>
        <w:lang w:val="fr-FR"/>
      </w:rPr>
      <w:t>©2016</w:t>
    </w:r>
    <w:r w:rsidR="0007095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</w:t>
    </w:r>
    <w:bookmarkEnd w:id="12"/>
    <w:bookmarkEnd w:id="13"/>
    <w:bookmarkEnd w:id="14"/>
    <w:r w:rsidR="00F3699D" w:rsidRPr="00644149">
      <w:rPr>
        <w:rFonts w:eastAsia="Times New Roman"/>
        <w:sz w:val="16"/>
        <w:lang w:val="fr-FR"/>
      </w:rPr>
      <w:t>licence</w:t>
    </w:r>
    <w:r w:rsidR="00F3699D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21175" w14:textId="77777777" w:rsidR="00AF0374" w:rsidRDefault="00AF0374" w:rsidP="00AE035F">
      <w:pPr>
        <w:spacing w:after="0" w:line="240" w:lineRule="auto"/>
      </w:pPr>
      <w:r>
        <w:separator/>
      </w:r>
    </w:p>
  </w:footnote>
  <w:footnote w:type="continuationSeparator" w:id="0">
    <w:p w14:paraId="617ED042" w14:textId="77777777" w:rsidR="00AF0374" w:rsidRDefault="00AF037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5BE1E1B2" w14:textId="77777777" w:rsidTr="00AE035F">
      <w:tc>
        <w:tcPr>
          <w:tcW w:w="6771" w:type="dxa"/>
        </w:tcPr>
        <w:p w14:paraId="23C32A18" w14:textId="77777777" w:rsidR="00010F36" w:rsidRPr="00070952" w:rsidRDefault="00010F36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070952">
            <w:rPr>
              <w:sz w:val="20"/>
              <w:lang w:val="fr-FR"/>
            </w:rPr>
            <w:t xml:space="preserve"> [</w:t>
          </w:r>
          <w:r w:rsidR="00070952" w:rsidRPr="00070952">
            <w:rPr>
              <w:sz w:val="20"/>
              <w:lang w:val="fr-FR"/>
            </w:rPr>
            <w:t>Nom de l’organis</w:t>
          </w:r>
          <w:r w:rsidRPr="00070952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11329098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39C58A3" w14:textId="77777777" w:rsidR="00010F36" w:rsidRPr="00AE5C4B" w:rsidRDefault="00010F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A48283B8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  <w:sz w:val="24"/>
        <w:szCs w:val="24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0F4DB9"/>
    <w:multiLevelType w:val="hybridMultilevel"/>
    <w:tmpl w:val="1560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  <w:num w:numId="33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58DA"/>
    <w:rsid w:val="0006071F"/>
    <w:rsid w:val="00061F06"/>
    <w:rsid w:val="00070952"/>
    <w:rsid w:val="00074A12"/>
    <w:rsid w:val="0007717B"/>
    <w:rsid w:val="000A10A4"/>
    <w:rsid w:val="000A70B8"/>
    <w:rsid w:val="000B0E0C"/>
    <w:rsid w:val="000B2446"/>
    <w:rsid w:val="000B3DA3"/>
    <w:rsid w:val="000C0DC6"/>
    <w:rsid w:val="000C1731"/>
    <w:rsid w:val="000E452B"/>
    <w:rsid w:val="000F1F0C"/>
    <w:rsid w:val="000F5534"/>
    <w:rsid w:val="00116EF2"/>
    <w:rsid w:val="0012693F"/>
    <w:rsid w:val="00131E09"/>
    <w:rsid w:val="00155214"/>
    <w:rsid w:val="00161952"/>
    <w:rsid w:val="00163C2F"/>
    <w:rsid w:val="0017399D"/>
    <w:rsid w:val="00175092"/>
    <w:rsid w:val="001B0E11"/>
    <w:rsid w:val="001B6111"/>
    <w:rsid w:val="001B7754"/>
    <w:rsid w:val="001E0D8E"/>
    <w:rsid w:val="002233F3"/>
    <w:rsid w:val="0022664B"/>
    <w:rsid w:val="002368C7"/>
    <w:rsid w:val="00243804"/>
    <w:rsid w:val="00262C28"/>
    <w:rsid w:val="00275B62"/>
    <w:rsid w:val="00280F8B"/>
    <w:rsid w:val="00282F32"/>
    <w:rsid w:val="00284E59"/>
    <w:rsid w:val="00291D00"/>
    <w:rsid w:val="002A31B8"/>
    <w:rsid w:val="002B7ADE"/>
    <w:rsid w:val="002C56C3"/>
    <w:rsid w:val="002D4D34"/>
    <w:rsid w:val="00312D2E"/>
    <w:rsid w:val="00316123"/>
    <w:rsid w:val="00321278"/>
    <w:rsid w:val="00321834"/>
    <w:rsid w:val="003316CB"/>
    <w:rsid w:val="00333256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B7E0F"/>
    <w:rsid w:val="003C20B0"/>
    <w:rsid w:val="003E2FFB"/>
    <w:rsid w:val="003F1D5B"/>
    <w:rsid w:val="00403D05"/>
    <w:rsid w:val="00406C2A"/>
    <w:rsid w:val="00407168"/>
    <w:rsid w:val="00410D6B"/>
    <w:rsid w:val="00412B9F"/>
    <w:rsid w:val="004167AB"/>
    <w:rsid w:val="00423B18"/>
    <w:rsid w:val="00423C76"/>
    <w:rsid w:val="00432847"/>
    <w:rsid w:val="0044745C"/>
    <w:rsid w:val="004631DC"/>
    <w:rsid w:val="00481108"/>
    <w:rsid w:val="004906BB"/>
    <w:rsid w:val="004908B4"/>
    <w:rsid w:val="00491484"/>
    <w:rsid w:val="00494B5D"/>
    <w:rsid w:val="004B0D48"/>
    <w:rsid w:val="004B57FB"/>
    <w:rsid w:val="004B7046"/>
    <w:rsid w:val="004B79A5"/>
    <w:rsid w:val="004D4D38"/>
    <w:rsid w:val="004D7D97"/>
    <w:rsid w:val="004E063A"/>
    <w:rsid w:val="004E5789"/>
    <w:rsid w:val="004F63B4"/>
    <w:rsid w:val="004F6FB2"/>
    <w:rsid w:val="00505219"/>
    <w:rsid w:val="00507BC7"/>
    <w:rsid w:val="00510110"/>
    <w:rsid w:val="00511FB4"/>
    <w:rsid w:val="0053648E"/>
    <w:rsid w:val="0054162F"/>
    <w:rsid w:val="0055229E"/>
    <w:rsid w:val="00553076"/>
    <w:rsid w:val="00570A8D"/>
    <w:rsid w:val="005736F4"/>
    <w:rsid w:val="00575AD0"/>
    <w:rsid w:val="00583D55"/>
    <w:rsid w:val="00586240"/>
    <w:rsid w:val="005A56B2"/>
    <w:rsid w:val="005C5E87"/>
    <w:rsid w:val="005D5D01"/>
    <w:rsid w:val="005E3A88"/>
    <w:rsid w:val="005F5405"/>
    <w:rsid w:val="00601114"/>
    <w:rsid w:val="006273A4"/>
    <w:rsid w:val="0063742A"/>
    <w:rsid w:val="006502A4"/>
    <w:rsid w:val="0066732A"/>
    <w:rsid w:val="00674C25"/>
    <w:rsid w:val="00687C6E"/>
    <w:rsid w:val="00687CEE"/>
    <w:rsid w:val="006949AE"/>
    <w:rsid w:val="006B096D"/>
    <w:rsid w:val="006B3390"/>
    <w:rsid w:val="006C2903"/>
    <w:rsid w:val="006C2FCE"/>
    <w:rsid w:val="006C3497"/>
    <w:rsid w:val="006D0F17"/>
    <w:rsid w:val="006D3EBC"/>
    <w:rsid w:val="006F5C99"/>
    <w:rsid w:val="006F7DDC"/>
    <w:rsid w:val="00700F27"/>
    <w:rsid w:val="00723106"/>
    <w:rsid w:val="00724274"/>
    <w:rsid w:val="007349C5"/>
    <w:rsid w:val="0073797E"/>
    <w:rsid w:val="00741559"/>
    <w:rsid w:val="00755446"/>
    <w:rsid w:val="00771B30"/>
    <w:rsid w:val="007B2954"/>
    <w:rsid w:val="007B2B5E"/>
    <w:rsid w:val="007C3F3D"/>
    <w:rsid w:val="007D2DF9"/>
    <w:rsid w:val="007D4BA1"/>
    <w:rsid w:val="00813AF2"/>
    <w:rsid w:val="00834794"/>
    <w:rsid w:val="00834995"/>
    <w:rsid w:val="00842FE0"/>
    <w:rsid w:val="00860283"/>
    <w:rsid w:val="008604BA"/>
    <w:rsid w:val="00874A0E"/>
    <w:rsid w:val="00875364"/>
    <w:rsid w:val="00875876"/>
    <w:rsid w:val="0088736D"/>
    <w:rsid w:val="008902DA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04871"/>
    <w:rsid w:val="00913C05"/>
    <w:rsid w:val="00922991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B7B92"/>
    <w:rsid w:val="009C3F7A"/>
    <w:rsid w:val="009C470E"/>
    <w:rsid w:val="009E1428"/>
    <w:rsid w:val="009E77E6"/>
    <w:rsid w:val="009F3AFC"/>
    <w:rsid w:val="00A01752"/>
    <w:rsid w:val="00A05133"/>
    <w:rsid w:val="00A11102"/>
    <w:rsid w:val="00A1601F"/>
    <w:rsid w:val="00A22E92"/>
    <w:rsid w:val="00A2656E"/>
    <w:rsid w:val="00A267CB"/>
    <w:rsid w:val="00A275FB"/>
    <w:rsid w:val="00A36DA4"/>
    <w:rsid w:val="00A41C15"/>
    <w:rsid w:val="00A42135"/>
    <w:rsid w:val="00A60AD0"/>
    <w:rsid w:val="00A63500"/>
    <w:rsid w:val="00A74714"/>
    <w:rsid w:val="00A7672C"/>
    <w:rsid w:val="00AA492B"/>
    <w:rsid w:val="00AB0024"/>
    <w:rsid w:val="00AB3ECD"/>
    <w:rsid w:val="00AB6A06"/>
    <w:rsid w:val="00AC1FD8"/>
    <w:rsid w:val="00AC7B98"/>
    <w:rsid w:val="00AD6E54"/>
    <w:rsid w:val="00AE035F"/>
    <w:rsid w:val="00AE1B29"/>
    <w:rsid w:val="00AE408E"/>
    <w:rsid w:val="00AE456F"/>
    <w:rsid w:val="00AE5C4B"/>
    <w:rsid w:val="00AE69F6"/>
    <w:rsid w:val="00AF0374"/>
    <w:rsid w:val="00AF0A18"/>
    <w:rsid w:val="00B10DDC"/>
    <w:rsid w:val="00B12669"/>
    <w:rsid w:val="00B225EF"/>
    <w:rsid w:val="00B24C8E"/>
    <w:rsid w:val="00B464ED"/>
    <w:rsid w:val="00B61269"/>
    <w:rsid w:val="00B83A87"/>
    <w:rsid w:val="00B92897"/>
    <w:rsid w:val="00BB1F88"/>
    <w:rsid w:val="00BB66F0"/>
    <w:rsid w:val="00BD0AEC"/>
    <w:rsid w:val="00BE5E88"/>
    <w:rsid w:val="00C12F81"/>
    <w:rsid w:val="00C16245"/>
    <w:rsid w:val="00C22728"/>
    <w:rsid w:val="00C2395F"/>
    <w:rsid w:val="00C35C93"/>
    <w:rsid w:val="00C470B6"/>
    <w:rsid w:val="00C47B89"/>
    <w:rsid w:val="00C50638"/>
    <w:rsid w:val="00C532E1"/>
    <w:rsid w:val="00C62342"/>
    <w:rsid w:val="00C62752"/>
    <w:rsid w:val="00C64108"/>
    <w:rsid w:val="00C67043"/>
    <w:rsid w:val="00C73C06"/>
    <w:rsid w:val="00C765CE"/>
    <w:rsid w:val="00C926B9"/>
    <w:rsid w:val="00C95F2B"/>
    <w:rsid w:val="00CA12E4"/>
    <w:rsid w:val="00CA23AF"/>
    <w:rsid w:val="00CD1E63"/>
    <w:rsid w:val="00CE7A96"/>
    <w:rsid w:val="00CF739D"/>
    <w:rsid w:val="00D033E0"/>
    <w:rsid w:val="00D06B72"/>
    <w:rsid w:val="00D07D33"/>
    <w:rsid w:val="00D301A4"/>
    <w:rsid w:val="00D31762"/>
    <w:rsid w:val="00D326E7"/>
    <w:rsid w:val="00D33250"/>
    <w:rsid w:val="00D3674A"/>
    <w:rsid w:val="00D414DB"/>
    <w:rsid w:val="00D42942"/>
    <w:rsid w:val="00D45AF7"/>
    <w:rsid w:val="00D576D1"/>
    <w:rsid w:val="00D7184B"/>
    <w:rsid w:val="00D72078"/>
    <w:rsid w:val="00D84F71"/>
    <w:rsid w:val="00D91C5E"/>
    <w:rsid w:val="00D94B43"/>
    <w:rsid w:val="00DA6A57"/>
    <w:rsid w:val="00DA78C6"/>
    <w:rsid w:val="00DB46A1"/>
    <w:rsid w:val="00DD2C83"/>
    <w:rsid w:val="00DE26ED"/>
    <w:rsid w:val="00DF09C9"/>
    <w:rsid w:val="00E00192"/>
    <w:rsid w:val="00E03043"/>
    <w:rsid w:val="00E067E8"/>
    <w:rsid w:val="00E147B7"/>
    <w:rsid w:val="00E20FAD"/>
    <w:rsid w:val="00E2272B"/>
    <w:rsid w:val="00E23DD9"/>
    <w:rsid w:val="00E3052C"/>
    <w:rsid w:val="00E35741"/>
    <w:rsid w:val="00E46AD9"/>
    <w:rsid w:val="00E82B50"/>
    <w:rsid w:val="00E85258"/>
    <w:rsid w:val="00E85986"/>
    <w:rsid w:val="00EA129F"/>
    <w:rsid w:val="00EA4B07"/>
    <w:rsid w:val="00EB0B4D"/>
    <w:rsid w:val="00ED61FD"/>
    <w:rsid w:val="00EE4827"/>
    <w:rsid w:val="00EE4DB6"/>
    <w:rsid w:val="00F02560"/>
    <w:rsid w:val="00F02B2C"/>
    <w:rsid w:val="00F06DAF"/>
    <w:rsid w:val="00F07D6D"/>
    <w:rsid w:val="00F11315"/>
    <w:rsid w:val="00F11387"/>
    <w:rsid w:val="00F27440"/>
    <w:rsid w:val="00F359F1"/>
    <w:rsid w:val="00F3677B"/>
    <w:rsid w:val="00F3699D"/>
    <w:rsid w:val="00F4220D"/>
    <w:rsid w:val="00F45920"/>
    <w:rsid w:val="00F51CAB"/>
    <w:rsid w:val="00F564DC"/>
    <w:rsid w:val="00F61E7D"/>
    <w:rsid w:val="00F66238"/>
    <w:rsid w:val="00F70B35"/>
    <w:rsid w:val="00F757D7"/>
    <w:rsid w:val="00F84C00"/>
    <w:rsid w:val="00F86933"/>
    <w:rsid w:val="00F955A9"/>
    <w:rsid w:val="00FA72FE"/>
    <w:rsid w:val="00FB6DF5"/>
    <w:rsid w:val="00FB7DBE"/>
    <w:rsid w:val="00FE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8C21AD"/>
  <w15:docId w15:val="{763399B5-0DB0-4327-9999-846725C1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E20FA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gne-directrice-pour-la-gestion-des-piles-et-des-accumulateurs-usag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011C8-0991-4D77-BA5E-FB5CF647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Annexe 7 - Ligne directrice pour la gestion des piles et des accumulateurs usagés</vt:lpstr>
      <vt:lpstr>Annexe 7 - Ligne directrice pour la gestion des piles et des accumulateurs usagés</vt:lpstr>
    </vt:vector>
  </TitlesOfParts>
  <Company>EPPS Services Ltd</Company>
  <LinksUpToDate>false</LinksUpToDate>
  <CharactersWithSpaces>3136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7 - Ligne directrice pour la gestion des piles et des accumulateurs usagés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9</cp:revision>
  <dcterms:created xsi:type="dcterms:W3CDTF">2016-05-05T18:40:00Z</dcterms:created>
  <dcterms:modified xsi:type="dcterms:W3CDTF">2016-07-14T08:17:00Z</dcterms:modified>
</cp:coreProperties>
</file>