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0D0DD" w14:textId="464F1DD4" w:rsidR="00AE035F" w:rsidRPr="0008696F" w:rsidRDefault="0008696F" w:rsidP="0008696F">
      <w:pPr>
        <w:jc w:val="center"/>
        <w:rPr>
          <w:rFonts w:asciiTheme="minorHAnsi" w:eastAsiaTheme="minorEastAsia" w:hAnsiTheme="minorHAnsi"/>
          <w:lang w:val="en-US" w:eastAsia="zh-CN"/>
        </w:rPr>
      </w:pPr>
      <w:r w:rsidRPr="0008696F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4669A81E" w14:textId="77777777" w:rsidR="00AE035F" w:rsidRPr="00E36BB4" w:rsidRDefault="00AE035F">
      <w:pPr>
        <w:rPr>
          <w:lang w:val="en-US"/>
        </w:rPr>
      </w:pPr>
    </w:p>
    <w:p w14:paraId="5E636E13" w14:textId="77777777" w:rsidR="00AE035F" w:rsidRPr="00E36BB4" w:rsidRDefault="00AE035F">
      <w:pPr>
        <w:rPr>
          <w:lang w:val="en-US"/>
        </w:rPr>
      </w:pPr>
    </w:p>
    <w:p w14:paraId="2782AD50" w14:textId="77777777" w:rsidR="00AE035F" w:rsidRPr="00E36BB4" w:rsidRDefault="00AE035F">
      <w:pPr>
        <w:rPr>
          <w:lang w:val="en-US"/>
        </w:rPr>
      </w:pPr>
    </w:p>
    <w:p w14:paraId="5B3FAACE" w14:textId="77777777" w:rsidR="00AE035F" w:rsidRPr="00E318D3" w:rsidRDefault="00AE035F">
      <w:pPr>
        <w:rPr>
          <w:lang w:val="fr-FR"/>
        </w:rPr>
      </w:pPr>
    </w:p>
    <w:p w14:paraId="34888B63" w14:textId="77777777" w:rsidR="00AE035F" w:rsidRPr="00E318D3" w:rsidRDefault="00AE035F" w:rsidP="00AE035F">
      <w:pPr>
        <w:jc w:val="center"/>
        <w:rPr>
          <w:lang w:val="fr-FR"/>
        </w:rPr>
      </w:pPr>
      <w:commentRangeStart w:id="0"/>
      <w:r w:rsidRPr="00E318D3">
        <w:rPr>
          <w:lang w:val="fr-FR"/>
        </w:rPr>
        <w:t>[</w:t>
      </w:r>
      <w:r w:rsidR="00E318D3" w:rsidRPr="00E318D3">
        <w:rPr>
          <w:lang w:val="fr-FR"/>
        </w:rPr>
        <w:t>Logo de l’organisme</w:t>
      </w:r>
      <w:r w:rsidRPr="00E318D3">
        <w:rPr>
          <w:lang w:val="fr-FR"/>
        </w:rPr>
        <w:t>]</w:t>
      </w:r>
      <w:commentRangeEnd w:id="0"/>
      <w:r w:rsidR="00C50638" w:rsidRPr="00E318D3">
        <w:rPr>
          <w:rStyle w:val="Referencakomentara"/>
          <w:lang w:val="fr-FR"/>
        </w:rPr>
        <w:commentReference w:id="0"/>
      </w:r>
    </w:p>
    <w:p w14:paraId="755813AD" w14:textId="77777777" w:rsidR="00AE035F" w:rsidRPr="00E318D3" w:rsidRDefault="00AE035F" w:rsidP="00AE035F">
      <w:pPr>
        <w:jc w:val="center"/>
        <w:rPr>
          <w:lang w:val="fr-FR"/>
        </w:rPr>
      </w:pPr>
      <w:r w:rsidRPr="00E318D3">
        <w:rPr>
          <w:lang w:val="fr-FR"/>
        </w:rPr>
        <w:t>[</w:t>
      </w:r>
      <w:r w:rsidR="00E318D3" w:rsidRPr="00E318D3">
        <w:rPr>
          <w:lang w:val="fr-FR"/>
        </w:rPr>
        <w:t>Nom de l’organis</w:t>
      </w:r>
      <w:r w:rsidRPr="00E318D3">
        <w:rPr>
          <w:lang w:val="fr-FR"/>
        </w:rPr>
        <w:t>me]</w:t>
      </w:r>
    </w:p>
    <w:p w14:paraId="4EF7D553" w14:textId="77777777" w:rsidR="00AE035F" w:rsidRPr="00E318D3" w:rsidRDefault="00AE035F" w:rsidP="00AE035F">
      <w:pPr>
        <w:jc w:val="center"/>
        <w:rPr>
          <w:lang w:val="fr-FR"/>
        </w:rPr>
      </w:pPr>
    </w:p>
    <w:p w14:paraId="14BFA633" w14:textId="77777777" w:rsidR="00AE035F" w:rsidRPr="00E318D3" w:rsidRDefault="00AE035F" w:rsidP="00AE035F">
      <w:pPr>
        <w:jc w:val="center"/>
        <w:rPr>
          <w:lang w:val="fr-FR"/>
        </w:rPr>
      </w:pPr>
    </w:p>
    <w:p w14:paraId="1757AC3A" w14:textId="77777777" w:rsidR="00AE035F" w:rsidRPr="00E318D3" w:rsidRDefault="00E318D3" w:rsidP="00AE035F">
      <w:pPr>
        <w:jc w:val="center"/>
        <w:rPr>
          <w:b/>
          <w:sz w:val="32"/>
          <w:szCs w:val="32"/>
          <w:lang w:val="fr-FR"/>
        </w:rPr>
      </w:pPr>
      <w:r w:rsidRPr="00E318D3">
        <w:rPr>
          <w:b/>
          <w:sz w:val="32"/>
          <w:lang w:val="fr-FR"/>
        </w:rPr>
        <w:t>LIGNE DIRECTRICE POUR LA GESTION DE L’ENERGIE ET DE L’EAU</w:t>
      </w:r>
    </w:p>
    <w:p w14:paraId="1976DB4E" w14:textId="77777777" w:rsidR="00AE035F" w:rsidRPr="00E318D3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E318D3" w14:paraId="71731037" w14:textId="77777777" w:rsidTr="0097243F">
        <w:tc>
          <w:tcPr>
            <w:tcW w:w="2376" w:type="dxa"/>
          </w:tcPr>
          <w:p w14:paraId="7FC7F595" w14:textId="77777777" w:rsidR="00DA78C6" w:rsidRPr="00E318D3" w:rsidRDefault="00DA78C6" w:rsidP="0097243F">
            <w:pPr>
              <w:rPr>
                <w:lang w:val="fr-FR"/>
              </w:rPr>
            </w:pPr>
            <w:commentRangeStart w:id="1"/>
            <w:r w:rsidRPr="00E318D3">
              <w:rPr>
                <w:lang w:val="fr-FR"/>
              </w:rPr>
              <w:t>Code:</w:t>
            </w:r>
            <w:commentRangeEnd w:id="1"/>
            <w:r w:rsidR="00C50638" w:rsidRPr="00E318D3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35254273" w14:textId="77777777" w:rsidR="00DA78C6" w:rsidRPr="00E318D3" w:rsidRDefault="00DA78C6" w:rsidP="0097243F">
            <w:pPr>
              <w:rPr>
                <w:lang w:val="fr-FR"/>
              </w:rPr>
            </w:pPr>
          </w:p>
        </w:tc>
      </w:tr>
      <w:tr w:rsidR="00DA78C6" w:rsidRPr="00E318D3" w14:paraId="53423B0C" w14:textId="77777777" w:rsidTr="0097243F">
        <w:tc>
          <w:tcPr>
            <w:tcW w:w="2376" w:type="dxa"/>
          </w:tcPr>
          <w:p w14:paraId="6641F109" w14:textId="77777777" w:rsidR="00DA78C6" w:rsidRPr="00E318D3" w:rsidRDefault="00DA78C6" w:rsidP="0097243F">
            <w:pPr>
              <w:rPr>
                <w:lang w:val="fr-FR"/>
              </w:rPr>
            </w:pPr>
            <w:r w:rsidRPr="00E318D3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AC8C535" w14:textId="77777777" w:rsidR="00DA78C6" w:rsidRPr="00E318D3" w:rsidRDefault="00175092" w:rsidP="0097243F">
            <w:pPr>
              <w:rPr>
                <w:lang w:val="fr-FR"/>
              </w:rPr>
            </w:pPr>
            <w:r w:rsidRPr="00E318D3">
              <w:rPr>
                <w:lang w:val="fr-FR"/>
              </w:rPr>
              <w:t>0.1</w:t>
            </w:r>
          </w:p>
        </w:tc>
      </w:tr>
      <w:tr w:rsidR="00DA78C6" w:rsidRPr="00E318D3" w14:paraId="27BD9EA7" w14:textId="77777777" w:rsidTr="0097243F">
        <w:tc>
          <w:tcPr>
            <w:tcW w:w="2376" w:type="dxa"/>
          </w:tcPr>
          <w:p w14:paraId="2EE02F6D" w14:textId="77777777" w:rsidR="00DA78C6" w:rsidRPr="00E318D3" w:rsidRDefault="00E318D3" w:rsidP="0097243F">
            <w:pPr>
              <w:rPr>
                <w:lang w:val="fr-FR"/>
              </w:rPr>
            </w:pPr>
            <w:r w:rsidRPr="00E318D3">
              <w:rPr>
                <w:lang w:val="fr-FR"/>
              </w:rPr>
              <w:t>Crée par</w:t>
            </w:r>
            <w:r w:rsidR="00DA78C6" w:rsidRPr="00E318D3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98829EF" w14:textId="77777777" w:rsidR="00DA78C6" w:rsidRPr="00E318D3" w:rsidRDefault="00DA78C6" w:rsidP="0097243F">
            <w:pPr>
              <w:rPr>
                <w:lang w:val="fr-FR"/>
              </w:rPr>
            </w:pPr>
          </w:p>
        </w:tc>
      </w:tr>
      <w:tr w:rsidR="00DA78C6" w:rsidRPr="00E318D3" w14:paraId="29DA827A" w14:textId="77777777" w:rsidTr="0097243F">
        <w:tc>
          <w:tcPr>
            <w:tcW w:w="2376" w:type="dxa"/>
          </w:tcPr>
          <w:p w14:paraId="307C2491" w14:textId="77777777" w:rsidR="00DA78C6" w:rsidRPr="00E318D3" w:rsidRDefault="00E318D3" w:rsidP="0097243F">
            <w:pPr>
              <w:rPr>
                <w:lang w:val="fr-FR"/>
              </w:rPr>
            </w:pPr>
            <w:r w:rsidRPr="00E318D3">
              <w:rPr>
                <w:lang w:val="fr-FR"/>
              </w:rPr>
              <w:t>Approuvée par</w:t>
            </w:r>
            <w:r w:rsidR="00DA78C6" w:rsidRPr="00E318D3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2593957C" w14:textId="77777777" w:rsidR="00DA78C6" w:rsidRPr="00E318D3" w:rsidRDefault="00DA78C6" w:rsidP="0097243F">
            <w:pPr>
              <w:rPr>
                <w:lang w:val="fr-FR"/>
              </w:rPr>
            </w:pPr>
          </w:p>
        </w:tc>
      </w:tr>
      <w:tr w:rsidR="00DA78C6" w:rsidRPr="00E318D3" w14:paraId="55984EBD" w14:textId="77777777" w:rsidTr="0097243F">
        <w:tc>
          <w:tcPr>
            <w:tcW w:w="2376" w:type="dxa"/>
          </w:tcPr>
          <w:p w14:paraId="3ECC4049" w14:textId="77777777" w:rsidR="00DA78C6" w:rsidRPr="00E318D3" w:rsidRDefault="00E318D3" w:rsidP="0097243F">
            <w:pPr>
              <w:rPr>
                <w:lang w:val="fr-FR"/>
              </w:rPr>
            </w:pPr>
            <w:r w:rsidRPr="00E318D3">
              <w:rPr>
                <w:lang w:val="fr-FR"/>
              </w:rPr>
              <w:t>Date de la</w:t>
            </w:r>
            <w:r w:rsidR="00DA78C6" w:rsidRPr="00E318D3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CCB12AD" w14:textId="77777777" w:rsidR="00DA78C6" w:rsidRPr="00E318D3" w:rsidRDefault="00DA78C6" w:rsidP="0097243F">
            <w:pPr>
              <w:rPr>
                <w:lang w:val="fr-FR"/>
              </w:rPr>
            </w:pPr>
          </w:p>
        </w:tc>
      </w:tr>
      <w:tr w:rsidR="00DA78C6" w:rsidRPr="00E318D3" w14:paraId="6C8029C3" w14:textId="77777777" w:rsidTr="0097243F">
        <w:tc>
          <w:tcPr>
            <w:tcW w:w="2376" w:type="dxa"/>
          </w:tcPr>
          <w:p w14:paraId="4F1184F9" w14:textId="77777777" w:rsidR="00DA78C6" w:rsidRPr="00E318D3" w:rsidRDefault="00DA78C6" w:rsidP="0097243F">
            <w:pPr>
              <w:rPr>
                <w:lang w:val="fr-FR"/>
              </w:rPr>
            </w:pPr>
            <w:r w:rsidRPr="00E318D3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6E2715E7" w14:textId="77777777" w:rsidR="00DA78C6" w:rsidRPr="00E318D3" w:rsidRDefault="00DA78C6" w:rsidP="0097243F">
            <w:pPr>
              <w:rPr>
                <w:lang w:val="fr-FR"/>
              </w:rPr>
            </w:pPr>
          </w:p>
        </w:tc>
      </w:tr>
    </w:tbl>
    <w:p w14:paraId="0BCF1EF2" w14:textId="77777777" w:rsidR="00AE035F" w:rsidRPr="00E318D3" w:rsidRDefault="00AE035F" w:rsidP="00AE035F">
      <w:pPr>
        <w:rPr>
          <w:lang w:val="fr-FR"/>
        </w:rPr>
      </w:pPr>
    </w:p>
    <w:p w14:paraId="23E2DC31" w14:textId="77777777" w:rsidR="00DA78C6" w:rsidRPr="00E318D3" w:rsidRDefault="00DA78C6" w:rsidP="00965663">
      <w:pPr>
        <w:rPr>
          <w:lang w:val="fr-FR"/>
        </w:rPr>
      </w:pPr>
    </w:p>
    <w:p w14:paraId="51261912" w14:textId="77777777" w:rsidR="00DA78C6" w:rsidRPr="00E318D3" w:rsidRDefault="00E318D3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E318D3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E318D3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E318D3" w14:paraId="52E363D7" w14:textId="77777777" w:rsidTr="0097243F">
        <w:tc>
          <w:tcPr>
            <w:tcW w:w="761" w:type="dxa"/>
            <w:vMerge w:val="restart"/>
            <w:vAlign w:val="center"/>
          </w:tcPr>
          <w:p w14:paraId="3D9C9624" w14:textId="77777777" w:rsidR="00DA78C6" w:rsidRPr="00E318D3" w:rsidRDefault="00E318D3" w:rsidP="0097243F">
            <w:pPr>
              <w:spacing w:after="0"/>
              <w:rPr>
                <w:lang w:val="fr-FR"/>
              </w:rPr>
            </w:pPr>
            <w:r w:rsidRPr="00E318D3">
              <w:rPr>
                <w:lang w:val="fr-FR"/>
              </w:rPr>
              <w:t>Copie</w:t>
            </w:r>
            <w:r w:rsidR="00175092" w:rsidRPr="00E318D3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B38AB4F" w14:textId="77777777" w:rsidR="00DA78C6" w:rsidRPr="00E318D3" w:rsidRDefault="00E318D3" w:rsidP="0097243F">
            <w:pPr>
              <w:spacing w:after="0"/>
              <w:rPr>
                <w:lang w:val="fr-FR"/>
              </w:rPr>
            </w:pPr>
            <w:r w:rsidRPr="00E318D3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810D370" w14:textId="77777777" w:rsidR="00DA78C6" w:rsidRPr="00E318D3" w:rsidRDefault="00175092" w:rsidP="0097243F">
            <w:pPr>
              <w:spacing w:after="0"/>
              <w:ind w:left="-18"/>
              <w:rPr>
                <w:lang w:val="fr-FR"/>
              </w:rPr>
            </w:pPr>
            <w:r w:rsidRPr="00E318D3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088C2C15" w14:textId="77777777" w:rsidR="00DA78C6" w:rsidRPr="00E318D3" w:rsidRDefault="00175092" w:rsidP="0097243F">
            <w:pPr>
              <w:spacing w:after="0"/>
              <w:rPr>
                <w:lang w:val="fr-FR"/>
              </w:rPr>
            </w:pPr>
            <w:r w:rsidRPr="00E318D3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483E48B" w14:textId="77777777" w:rsidR="00DA78C6" w:rsidRPr="00E318D3" w:rsidRDefault="00E318D3" w:rsidP="0097243F">
            <w:pPr>
              <w:spacing w:after="0"/>
              <w:ind w:left="108"/>
              <w:rPr>
                <w:lang w:val="fr-FR"/>
              </w:rPr>
            </w:pPr>
            <w:r w:rsidRPr="00E318D3">
              <w:rPr>
                <w:lang w:val="fr-FR"/>
              </w:rPr>
              <w:t>Renvoyée</w:t>
            </w:r>
          </w:p>
        </w:tc>
      </w:tr>
      <w:tr w:rsidR="00DA78C6" w:rsidRPr="00E318D3" w14:paraId="07747BB4" w14:textId="77777777" w:rsidTr="0097243F">
        <w:tc>
          <w:tcPr>
            <w:tcW w:w="761" w:type="dxa"/>
            <w:vMerge/>
          </w:tcPr>
          <w:p w14:paraId="787A038C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7BE706E5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90074E7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5191A98B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C221B5A" w14:textId="77777777" w:rsidR="00DA78C6" w:rsidRPr="00E318D3" w:rsidRDefault="00175092" w:rsidP="0097243F">
            <w:pPr>
              <w:spacing w:after="0"/>
              <w:ind w:left="108"/>
              <w:rPr>
                <w:lang w:val="fr-FR"/>
              </w:rPr>
            </w:pPr>
            <w:r w:rsidRPr="00E318D3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3802E14" w14:textId="77777777" w:rsidR="00DA78C6" w:rsidRPr="00E318D3" w:rsidRDefault="00175092" w:rsidP="0097243F">
            <w:pPr>
              <w:spacing w:after="0"/>
              <w:ind w:left="90"/>
              <w:rPr>
                <w:lang w:val="fr-FR"/>
              </w:rPr>
            </w:pPr>
            <w:r w:rsidRPr="00E318D3">
              <w:rPr>
                <w:lang w:val="fr-FR"/>
              </w:rPr>
              <w:t>Signature</w:t>
            </w:r>
          </w:p>
        </w:tc>
      </w:tr>
      <w:tr w:rsidR="00DA78C6" w:rsidRPr="00E318D3" w14:paraId="4FE006A1" w14:textId="77777777" w:rsidTr="0097243F">
        <w:tc>
          <w:tcPr>
            <w:tcW w:w="761" w:type="dxa"/>
          </w:tcPr>
          <w:p w14:paraId="1ABA51FA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8E7B663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C4CFA9C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0371C3F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D43742E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FCCD3A3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E318D3" w14:paraId="6120FF39" w14:textId="77777777" w:rsidTr="0097243F">
        <w:tc>
          <w:tcPr>
            <w:tcW w:w="761" w:type="dxa"/>
          </w:tcPr>
          <w:p w14:paraId="606B3656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C107802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ED89461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5C13B29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107595A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1FBBA25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E318D3" w14:paraId="2B18C269" w14:textId="77777777" w:rsidTr="0097243F">
        <w:tc>
          <w:tcPr>
            <w:tcW w:w="761" w:type="dxa"/>
          </w:tcPr>
          <w:p w14:paraId="49EC0932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F2994AF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939EF63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EA1A5DF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A652E0F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6A4CB50" w14:textId="77777777" w:rsidR="00DA78C6" w:rsidRPr="00E318D3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6FE703D8" w14:textId="77777777" w:rsidR="00DA78C6" w:rsidRPr="00E318D3" w:rsidRDefault="00DA78C6" w:rsidP="00DA78C6">
      <w:pPr>
        <w:rPr>
          <w:b/>
          <w:sz w:val="28"/>
          <w:lang w:val="fr-FR"/>
        </w:rPr>
      </w:pPr>
    </w:p>
    <w:p w14:paraId="0C8B5D2C" w14:textId="77777777" w:rsidR="00AE035F" w:rsidRPr="00E318D3" w:rsidRDefault="00175092" w:rsidP="00965663">
      <w:pPr>
        <w:rPr>
          <w:lang w:val="fr-FR"/>
        </w:rPr>
      </w:pPr>
      <w:r w:rsidRPr="00E318D3">
        <w:rPr>
          <w:lang w:val="fr-FR"/>
        </w:rPr>
        <w:br w:type="page"/>
      </w:r>
    </w:p>
    <w:p w14:paraId="59822372" w14:textId="77777777" w:rsidR="00AE035F" w:rsidRPr="00E318D3" w:rsidRDefault="00AE035F" w:rsidP="00AE035F">
      <w:pPr>
        <w:rPr>
          <w:lang w:val="fr-FR"/>
        </w:rPr>
      </w:pPr>
    </w:p>
    <w:p w14:paraId="7096AAAC" w14:textId="77777777" w:rsidR="009C3F7A" w:rsidRPr="00E318D3" w:rsidRDefault="00E318D3" w:rsidP="009C3F7A">
      <w:pPr>
        <w:rPr>
          <w:b/>
          <w:sz w:val="28"/>
          <w:szCs w:val="28"/>
          <w:lang w:val="fr-FR"/>
        </w:rPr>
      </w:pPr>
      <w:r w:rsidRPr="00E318D3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E318D3" w14:paraId="6EF756DC" w14:textId="77777777" w:rsidTr="00E318D3">
        <w:tc>
          <w:tcPr>
            <w:tcW w:w="1378" w:type="dxa"/>
          </w:tcPr>
          <w:p w14:paraId="5F1E75A7" w14:textId="77777777" w:rsidR="009C3F7A" w:rsidRPr="00E318D3" w:rsidRDefault="00175092" w:rsidP="0097243F">
            <w:pPr>
              <w:rPr>
                <w:b/>
                <w:lang w:val="fr-FR"/>
              </w:rPr>
            </w:pPr>
            <w:r w:rsidRPr="00E318D3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2E947A89" w14:textId="77777777" w:rsidR="009C3F7A" w:rsidRPr="00E318D3" w:rsidRDefault="00175092" w:rsidP="0097243F">
            <w:pPr>
              <w:rPr>
                <w:b/>
                <w:lang w:val="fr-FR"/>
              </w:rPr>
            </w:pPr>
            <w:r w:rsidRPr="00E318D3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112D9EB5" w14:textId="77777777" w:rsidR="009C3F7A" w:rsidRPr="00E318D3" w:rsidRDefault="00E318D3" w:rsidP="0097243F">
            <w:pPr>
              <w:rPr>
                <w:b/>
                <w:lang w:val="fr-FR"/>
              </w:rPr>
            </w:pPr>
            <w:r w:rsidRPr="00E318D3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1E2E3D6E" w14:textId="77777777" w:rsidR="009C3F7A" w:rsidRPr="00E318D3" w:rsidRDefault="00E318D3" w:rsidP="0097243F">
            <w:pPr>
              <w:rPr>
                <w:b/>
                <w:lang w:val="fr-FR"/>
              </w:rPr>
            </w:pPr>
            <w:r w:rsidRPr="00E318D3">
              <w:rPr>
                <w:b/>
                <w:lang w:val="fr-FR"/>
              </w:rPr>
              <w:t>Description de la modification</w:t>
            </w:r>
          </w:p>
        </w:tc>
      </w:tr>
      <w:tr w:rsidR="00E318D3" w:rsidRPr="00E318D3" w14:paraId="5C53E7DC" w14:textId="77777777" w:rsidTr="00E318D3">
        <w:tc>
          <w:tcPr>
            <w:tcW w:w="1378" w:type="dxa"/>
          </w:tcPr>
          <w:p w14:paraId="21CC3514" w14:textId="77777777" w:rsidR="00E318D3" w:rsidRPr="00E318D3" w:rsidRDefault="00E318D3" w:rsidP="00E318D3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21CFD2F" w14:textId="77777777" w:rsidR="00E318D3" w:rsidRPr="00E318D3" w:rsidRDefault="00E318D3" w:rsidP="00E318D3">
            <w:pPr>
              <w:rPr>
                <w:lang w:val="fr-FR"/>
              </w:rPr>
            </w:pPr>
            <w:r w:rsidRPr="00E318D3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1D29C167" w14:textId="77777777" w:rsidR="00E318D3" w:rsidRPr="00E318D3" w:rsidRDefault="00E318D3" w:rsidP="00E318D3">
            <w:pPr>
              <w:rPr>
                <w:lang w:val="fr-FR"/>
              </w:rPr>
            </w:pPr>
            <w:r w:rsidRPr="00E318D3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65ED5146" w14:textId="77777777" w:rsidR="00E318D3" w:rsidRPr="00E318D3" w:rsidRDefault="00E318D3" w:rsidP="00E318D3">
            <w:pPr>
              <w:rPr>
                <w:lang w:val="fr-FR"/>
              </w:rPr>
            </w:pPr>
            <w:r w:rsidRPr="00E318D3">
              <w:rPr>
                <w:lang w:val="fr-FR"/>
              </w:rPr>
              <w:t>Structure documentaire de base</w:t>
            </w:r>
          </w:p>
        </w:tc>
      </w:tr>
      <w:tr w:rsidR="009C3F7A" w:rsidRPr="00E318D3" w14:paraId="1CAF7972" w14:textId="77777777" w:rsidTr="00E318D3">
        <w:tc>
          <w:tcPr>
            <w:tcW w:w="1378" w:type="dxa"/>
          </w:tcPr>
          <w:p w14:paraId="19F2BF50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0A2121E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49DC943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43EEA4E" w14:textId="77777777" w:rsidR="009C3F7A" w:rsidRPr="00E318D3" w:rsidRDefault="009C3F7A" w:rsidP="0097243F">
            <w:pPr>
              <w:rPr>
                <w:lang w:val="fr-FR"/>
              </w:rPr>
            </w:pPr>
          </w:p>
        </w:tc>
      </w:tr>
      <w:tr w:rsidR="009C3F7A" w:rsidRPr="00E318D3" w14:paraId="568A7021" w14:textId="77777777" w:rsidTr="00E318D3">
        <w:tc>
          <w:tcPr>
            <w:tcW w:w="1378" w:type="dxa"/>
          </w:tcPr>
          <w:p w14:paraId="12D2CC5B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BF66C8A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7AECDC9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8198831" w14:textId="77777777" w:rsidR="009C3F7A" w:rsidRPr="00E318D3" w:rsidRDefault="009C3F7A" w:rsidP="0097243F">
            <w:pPr>
              <w:rPr>
                <w:lang w:val="fr-FR"/>
              </w:rPr>
            </w:pPr>
          </w:p>
        </w:tc>
      </w:tr>
      <w:tr w:rsidR="009C3F7A" w:rsidRPr="00E318D3" w14:paraId="28ABD7BE" w14:textId="77777777" w:rsidTr="00E318D3">
        <w:tc>
          <w:tcPr>
            <w:tcW w:w="1378" w:type="dxa"/>
          </w:tcPr>
          <w:p w14:paraId="17FC81E6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D101B36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DF0CB78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9BAA72B" w14:textId="77777777" w:rsidR="009C3F7A" w:rsidRPr="00E318D3" w:rsidRDefault="009C3F7A" w:rsidP="0097243F">
            <w:pPr>
              <w:rPr>
                <w:lang w:val="fr-FR"/>
              </w:rPr>
            </w:pPr>
          </w:p>
        </w:tc>
      </w:tr>
      <w:tr w:rsidR="009C3F7A" w:rsidRPr="00E318D3" w14:paraId="53FAA09B" w14:textId="77777777" w:rsidTr="00E318D3">
        <w:tc>
          <w:tcPr>
            <w:tcW w:w="1378" w:type="dxa"/>
          </w:tcPr>
          <w:p w14:paraId="63805390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D12965A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D1EC8C5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10911C0" w14:textId="77777777" w:rsidR="009C3F7A" w:rsidRPr="00E318D3" w:rsidRDefault="009C3F7A" w:rsidP="0097243F">
            <w:pPr>
              <w:rPr>
                <w:lang w:val="fr-FR"/>
              </w:rPr>
            </w:pPr>
          </w:p>
        </w:tc>
      </w:tr>
      <w:tr w:rsidR="009C3F7A" w:rsidRPr="00E318D3" w14:paraId="268CC5BE" w14:textId="77777777" w:rsidTr="00E318D3">
        <w:tc>
          <w:tcPr>
            <w:tcW w:w="1378" w:type="dxa"/>
          </w:tcPr>
          <w:p w14:paraId="50F03A71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AFEE814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01A17BE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40D8AA5" w14:textId="77777777" w:rsidR="009C3F7A" w:rsidRPr="00E318D3" w:rsidRDefault="009C3F7A" w:rsidP="0097243F">
            <w:pPr>
              <w:rPr>
                <w:lang w:val="fr-FR"/>
              </w:rPr>
            </w:pPr>
          </w:p>
        </w:tc>
      </w:tr>
      <w:tr w:rsidR="009C3F7A" w:rsidRPr="00E318D3" w14:paraId="77DC9685" w14:textId="77777777" w:rsidTr="00E318D3">
        <w:tc>
          <w:tcPr>
            <w:tcW w:w="1378" w:type="dxa"/>
          </w:tcPr>
          <w:p w14:paraId="018ACFC9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552099E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747C3B2" w14:textId="77777777" w:rsidR="009C3F7A" w:rsidRPr="00E318D3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72B6C0B" w14:textId="77777777" w:rsidR="009C3F7A" w:rsidRPr="00E318D3" w:rsidRDefault="009C3F7A" w:rsidP="0097243F">
            <w:pPr>
              <w:rPr>
                <w:lang w:val="fr-FR"/>
              </w:rPr>
            </w:pPr>
          </w:p>
        </w:tc>
      </w:tr>
    </w:tbl>
    <w:p w14:paraId="648752D1" w14:textId="77777777" w:rsidR="009C3F7A" w:rsidRPr="00E318D3" w:rsidRDefault="009C3F7A" w:rsidP="00AE035F">
      <w:pPr>
        <w:rPr>
          <w:lang w:val="fr-FR"/>
        </w:rPr>
      </w:pPr>
    </w:p>
    <w:p w14:paraId="36810859" w14:textId="77777777" w:rsidR="009C3F7A" w:rsidRPr="00E318D3" w:rsidRDefault="009C3F7A" w:rsidP="00AE035F">
      <w:pPr>
        <w:rPr>
          <w:lang w:val="fr-FR"/>
        </w:rPr>
      </w:pPr>
    </w:p>
    <w:p w14:paraId="0F2A11CE" w14:textId="77777777" w:rsidR="00AE035F" w:rsidRPr="00E318D3" w:rsidRDefault="00E318D3" w:rsidP="00AE035F">
      <w:pPr>
        <w:rPr>
          <w:b/>
          <w:sz w:val="28"/>
          <w:szCs w:val="28"/>
          <w:lang w:val="fr-FR"/>
        </w:rPr>
      </w:pPr>
      <w:r w:rsidRPr="00E318D3">
        <w:rPr>
          <w:b/>
          <w:sz w:val="28"/>
          <w:lang w:val="fr-FR"/>
        </w:rPr>
        <w:t>Table des matières</w:t>
      </w:r>
    </w:p>
    <w:p w14:paraId="4CB355A0" w14:textId="33351A1C" w:rsidR="004516BF" w:rsidRDefault="006F7186" w:rsidP="004516BF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E318D3">
        <w:rPr>
          <w:lang w:val="fr-FR"/>
        </w:rPr>
        <w:fldChar w:fldCharType="begin"/>
      </w:r>
      <w:r w:rsidR="00175092" w:rsidRPr="00E318D3">
        <w:rPr>
          <w:lang w:val="fr-FR"/>
        </w:rPr>
        <w:instrText xml:space="preserve"> TOC \o "1-3" \h \z \u </w:instrText>
      </w:r>
      <w:r w:rsidRPr="00E318D3">
        <w:rPr>
          <w:lang w:val="fr-FR"/>
        </w:rPr>
        <w:fldChar w:fldCharType="separate"/>
      </w:r>
      <w:hyperlink w:anchor="_Toc455406898" w:history="1">
        <w:r w:rsidR="004516BF" w:rsidRPr="00BF0350">
          <w:rPr>
            <w:rStyle w:val="Hiperveza"/>
            <w:noProof/>
            <w:lang w:val="fr-FR"/>
          </w:rPr>
          <w:t>1.</w:t>
        </w:r>
        <w:r w:rsidR="004516BF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But, domaine d’application et audience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_Toc455406898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3</w:t>
        </w:r>
        <w:r w:rsidR="004516BF">
          <w:rPr>
            <w:noProof/>
            <w:webHidden/>
          </w:rPr>
          <w:fldChar w:fldCharType="end"/>
        </w:r>
      </w:hyperlink>
    </w:p>
    <w:p w14:paraId="16E8BCE9" w14:textId="3E104000" w:rsidR="004516BF" w:rsidRDefault="00F11BE2" w:rsidP="004516BF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6899" w:history="1">
        <w:r w:rsidR="004516BF" w:rsidRPr="00BF0350">
          <w:rPr>
            <w:rStyle w:val="Hiperveza"/>
            <w:noProof/>
            <w:lang w:val="fr-FR"/>
          </w:rPr>
          <w:t>2.</w:t>
        </w:r>
        <w:r w:rsidR="004516BF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Documents référencés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_Toc455406899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3</w:t>
        </w:r>
        <w:r w:rsidR="004516BF">
          <w:rPr>
            <w:noProof/>
            <w:webHidden/>
          </w:rPr>
          <w:fldChar w:fldCharType="end"/>
        </w:r>
      </w:hyperlink>
    </w:p>
    <w:p w14:paraId="79A3EBB1" w14:textId="2F23E77D" w:rsidR="004516BF" w:rsidRDefault="00F11BE2" w:rsidP="004516BF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6900" w:history="1">
        <w:r w:rsidR="004516BF" w:rsidRPr="00BF0350">
          <w:rPr>
            <w:rStyle w:val="Hiperveza"/>
            <w:noProof/>
            <w:lang w:val="fr-FR"/>
          </w:rPr>
          <w:t>3.</w:t>
        </w:r>
        <w:r w:rsidR="004516BF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Gestion de l’énergie et de l’eau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_Toc455406900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3</w:t>
        </w:r>
        <w:r w:rsidR="004516BF">
          <w:rPr>
            <w:noProof/>
            <w:webHidden/>
          </w:rPr>
          <w:fldChar w:fldCharType="end"/>
        </w:r>
      </w:hyperlink>
    </w:p>
    <w:p w14:paraId="2095D638" w14:textId="096084C1" w:rsidR="004516BF" w:rsidRDefault="00F11BE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901" w:history="1">
        <w:r w:rsidR="004516BF" w:rsidRPr="00BF0350">
          <w:rPr>
            <w:rStyle w:val="Hiperveza"/>
            <w:noProof/>
            <w:lang w:val="fr-FR"/>
          </w:rPr>
          <w:t>3.1.</w:t>
        </w:r>
        <w:r w:rsidR="00451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Examen des systèmes d’approvisionnement en énergie et en eau et des possibilités de conservation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_Toc455406901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3</w:t>
        </w:r>
        <w:r w:rsidR="004516BF">
          <w:rPr>
            <w:noProof/>
            <w:webHidden/>
          </w:rPr>
          <w:fldChar w:fldCharType="end"/>
        </w:r>
      </w:hyperlink>
    </w:p>
    <w:p w14:paraId="2F47F1FE" w14:textId="51C150A8" w:rsidR="004516BF" w:rsidRDefault="00F11BE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902" w:history="1">
        <w:r w:rsidR="004516BF" w:rsidRPr="00BF0350">
          <w:rPr>
            <w:rStyle w:val="Hiperveza"/>
            <w:noProof/>
            <w:lang w:val="fr-FR"/>
          </w:rPr>
          <w:t>3.2.</w:t>
        </w:r>
        <w:r w:rsidR="00451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Déf</w:t>
        </w:r>
        <w:r w:rsidR="004516BF" w:rsidRPr="00BF0350">
          <w:rPr>
            <w:rStyle w:val="Hiperveza"/>
            <w:noProof/>
            <w:lang w:val="fr-FR"/>
          </w:rPr>
          <w:t>i</w:t>
        </w:r>
        <w:r w:rsidR="004516BF" w:rsidRPr="00BF0350">
          <w:rPr>
            <w:rStyle w:val="Hiperveza"/>
            <w:noProof/>
            <w:lang w:val="fr-FR"/>
          </w:rPr>
          <w:t>nition des actions pour diminuer la consommation d’énergie et d’eau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_Toc455406902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3</w:t>
        </w:r>
        <w:r w:rsidR="004516BF">
          <w:rPr>
            <w:noProof/>
            <w:webHidden/>
          </w:rPr>
          <w:fldChar w:fldCharType="end"/>
        </w:r>
      </w:hyperlink>
    </w:p>
    <w:p w14:paraId="761B7A55" w14:textId="2520AC5D" w:rsidR="004516BF" w:rsidRDefault="00F11BE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903" w:history="1">
        <w:r w:rsidR="004516BF" w:rsidRPr="00BF0350">
          <w:rPr>
            <w:rStyle w:val="Hiperveza"/>
            <w:noProof/>
            <w:lang w:val="fr-FR"/>
          </w:rPr>
          <w:t>3.3.</w:t>
        </w:r>
        <w:r w:rsidR="00451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Renforcement des actions d’économie d’énergie et d’eau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_Toc455406903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4</w:t>
        </w:r>
        <w:r w:rsidR="004516BF">
          <w:rPr>
            <w:noProof/>
            <w:webHidden/>
          </w:rPr>
          <w:fldChar w:fldCharType="end"/>
        </w:r>
      </w:hyperlink>
    </w:p>
    <w:p w14:paraId="1730FFA6" w14:textId="2FF4A6AF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04" w:history="1">
        <w:r w:rsidR="004516BF" w:rsidRPr="00BF0350">
          <w:rPr>
            <w:rStyle w:val="Hiperveza"/>
            <w:noProof/>
            <w:lang w:val="fr-FR"/>
          </w:rPr>
          <w:t>3.3.1.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Eclairage intérieur et extérieur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_Toc455406904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4</w:t>
        </w:r>
        <w:r w:rsidR="004516BF">
          <w:rPr>
            <w:noProof/>
            <w:webHidden/>
          </w:rPr>
          <w:fldChar w:fldCharType="end"/>
        </w:r>
      </w:hyperlink>
    </w:p>
    <w:p w14:paraId="4DCC4504" w14:textId="1E83EDA9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05" w:history="1">
        <w:r w:rsidR="004516BF" w:rsidRPr="00BF0350">
          <w:rPr>
            <w:rStyle w:val="Hiperveza"/>
            <w:noProof/>
            <w:lang w:val="fr-FR"/>
          </w:rPr>
          <w:t>3.3.2.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Equipements de bureau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_Toc455406905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4</w:t>
        </w:r>
        <w:r w:rsidR="004516BF">
          <w:rPr>
            <w:noProof/>
            <w:webHidden/>
          </w:rPr>
          <w:fldChar w:fldCharType="end"/>
        </w:r>
      </w:hyperlink>
    </w:p>
    <w:p w14:paraId="30808FC2" w14:textId="5890262C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06" w:history="1">
        <w:r w:rsidR="004516BF" w:rsidRPr="00BF0350">
          <w:rPr>
            <w:rStyle w:val="Hiperveza"/>
            <w:noProof/>
            <w:lang w:val="fr-FR"/>
          </w:rPr>
          <w:t>3.3.3.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Equipements informatiques et électroniques (opérationnels)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_Toc455406906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5</w:t>
        </w:r>
        <w:r w:rsidR="004516BF">
          <w:rPr>
            <w:noProof/>
            <w:webHidden/>
          </w:rPr>
          <w:fldChar w:fldCharType="end"/>
        </w:r>
      </w:hyperlink>
    </w:p>
    <w:p w14:paraId="4F17CF21" w14:textId="0E572A13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07" w:history="1">
        <w:r w:rsidR="004516BF" w:rsidRPr="00BF0350">
          <w:rPr>
            <w:rStyle w:val="Hiperveza"/>
            <w:noProof/>
            <w:lang w:val="fr-FR"/>
          </w:rPr>
          <w:t>3.3.4.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Air conditionné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_Toc455406907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5</w:t>
        </w:r>
        <w:r w:rsidR="004516BF">
          <w:rPr>
            <w:noProof/>
            <w:webHidden/>
          </w:rPr>
          <w:fldChar w:fldCharType="end"/>
        </w:r>
      </w:hyperlink>
    </w:p>
    <w:p w14:paraId="5F721408" w14:textId="0E291433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08" w:history="1">
        <w:r w:rsidR="004516BF" w:rsidRPr="00BF0350">
          <w:rPr>
            <w:rStyle w:val="Hiperveza"/>
            <w:noProof/>
            <w:lang w:val="fr-FR"/>
          </w:rPr>
          <w:t>3.3.5.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Réfrigération domestique, chauffage et ventilation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_Toc455406908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6</w:t>
        </w:r>
        <w:r w:rsidR="004516BF">
          <w:rPr>
            <w:noProof/>
            <w:webHidden/>
          </w:rPr>
          <w:fldChar w:fldCharType="end"/>
        </w:r>
      </w:hyperlink>
    </w:p>
    <w:p w14:paraId="36775817" w14:textId="7621CD4B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09" w:history="1">
        <w:r w:rsidR="004516BF" w:rsidRPr="00BF0350">
          <w:rPr>
            <w:rStyle w:val="Hiperveza"/>
            <w:noProof/>
            <w:lang w:val="fr-FR"/>
          </w:rPr>
          <w:t>3.3.6.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Cuisine, équipements domestiques, blanchisserie et sèche-linge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_Toc455406909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7</w:t>
        </w:r>
        <w:r w:rsidR="004516BF">
          <w:rPr>
            <w:noProof/>
            <w:webHidden/>
          </w:rPr>
          <w:fldChar w:fldCharType="end"/>
        </w:r>
      </w:hyperlink>
    </w:p>
    <w:p w14:paraId="1B7B3463" w14:textId="3E1B6E00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10" w:history="1">
        <w:r w:rsidR="004516BF" w:rsidRPr="00BF0350">
          <w:rPr>
            <w:rStyle w:val="Hiperveza"/>
            <w:noProof/>
            <w:lang w:val="fr-FR"/>
          </w:rPr>
          <w:t>3.3.7.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Matériels divers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_Toc455406910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7</w:t>
        </w:r>
        <w:r w:rsidR="004516BF">
          <w:rPr>
            <w:noProof/>
            <w:webHidden/>
          </w:rPr>
          <w:fldChar w:fldCharType="end"/>
        </w:r>
      </w:hyperlink>
    </w:p>
    <w:p w14:paraId="60957F1F" w14:textId="5EB9C646" w:rsidR="004516BF" w:rsidRDefault="00F11BE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6911" w:history="1">
        <w:r w:rsidR="004516BF" w:rsidRPr="00BF0350">
          <w:rPr>
            <w:rStyle w:val="Hiperveza"/>
            <w:noProof/>
            <w:lang w:val="fr-FR"/>
          </w:rPr>
          <w:t>3.3.8.</w:t>
        </w:r>
        <w:r w:rsidR="004516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Consommation d’eau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_Toc455406911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7</w:t>
        </w:r>
        <w:r w:rsidR="004516BF">
          <w:rPr>
            <w:noProof/>
            <w:webHidden/>
          </w:rPr>
          <w:fldChar w:fldCharType="end"/>
        </w:r>
      </w:hyperlink>
    </w:p>
    <w:p w14:paraId="623ABB33" w14:textId="5F57A004" w:rsidR="004516BF" w:rsidRDefault="00F11BE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912" w:history="1">
        <w:r w:rsidR="004516BF" w:rsidRPr="00BF0350">
          <w:rPr>
            <w:rStyle w:val="Hiperveza"/>
            <w:noProof/>
            <w:lang w:val="fr-FR"/>
          </w:rPr>
          <w:t>3.4.</w:t>
        </w:r>
        <w:r w:rsidR="004516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Examen et surveillance de la consommation d’énergie et d’eau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_Toc455406912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8</w:t>
        </w:r>
        <w:r w:rsidR="004516BF">
          <w:rPr>
            <w:noProof/>
            <w:webHidden/>
          </w:rPr>
          <w:fldChar w:fldCharType="end"/>
        </w:r>
      </w:hyperlink>
    </w:p>
    <w:p w14:paraId="022C85CC" w14:textId="628D672C" w:rsidR="004516BF" w:rsidRDefault="00F11BE2" w:rsidP="004516BF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6913" w:history="1">
        <w:r w:rsidR="004516BF" w:rsidRPr="00BF0350">
          <w:rPr>
            <w:rStyle w:val="Hiperveza"/>
            <w:noProof/>
            <w:lang w:val="fr-FR"/>
          </w:rPr>
          <w:t>4.</w:t>
        </w:r>
        <w:r w:rsidR="004516BF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4516BF" w:rsidRPr="00BF0350">
          <w:rPr>
            <w:rStyle w:val="Hiperveza"/>
            <w:noProof/>
            <w:lang w:val="fr-FR"/>
          </w:rPr>
          <w:t>Gestion des enregistrements conservés sur la base de ce document</w:t>
        </w:r>
        <w:r w:rsidR="004516BF">
          <w:rPr>
            <w:noProof/>
            <w:webHidden/>
          </w:rPr>
          <w:tab/>
        </w:r>
        <w:r w:rsidR="004516BF">
          <w:rPr>
            <w:noProof/>
            <w:webHidden/>
          </w:rPr>
          <w:fldChar w:fldCharType="begin"/>
        </w:r>
        <w:r w:rsidR="004516BF">
          <w:rPr>
            <w:noProof/>
            <w:webHidden/>
          </w:rPr>
          <w:instrText xml:space="preserve"> PAGEREF _Toc455406913 \h </w:instrText>
        </w:r>
        <w:r w:rsidR="004516BF">
          <w:rPr>
            <w:noProof/>
            <w:webHidden/>
          </w:rPr>
        </w:r>
        <w:r w:rsidR="004516BF">
          <w:rPr>
            <w:noProof/>
            <w:webHidden/>
          </w:rPr>
          <w:fldChar w:fldCharType="separate"/>
        </w:r>
        <w:r w:rsidR="004516BF">
          <w:rPr>
            <w:noProof/>
            <w:webHidden/>
          </w:rPr>
          <w:t>8</w:t>
        </w:r>
        <w:r w:rsidR="004516BF">
          <w:rPr>
            <w:noProof/>
            <w:webHidden/>
          </w:rPr>
          <w:fldChar w:fldCharType="end"/>
        </w:r>
      </w:hyperlink>
    </w:p>
    <w:p w14:paraId="67DDC1A2" w14:textId="3C135512" w:rsidR="007C3F3D" w:rsidRPr="00E318D3" w:rsidRDefault="006F7186">
      <w:pPr>
        <w:rPr>
          <w:lang w:val="fr-FR"/>
        </w:rPr>
      </w:pPr>
      <w:r w:rsidRPr="00E318D3">
        <w:rPr>
          <w:lang w:val="fr-FR"/>
        </w:rPr>
        <w:fldChar w:fldCharType="end"/>
      </w:r>
    </w:p>
    <w:p w14:paraId="415A45B5" w14:textId="77777777" w:rsidR="00AE035F" w:rsidRPr="00E318D3" w:rsidRDefault="00AE035F" w:rsidP="00AE035F">
      <w:pPr>
        <w:rPr>
          <w:lang w:val="fr-FR"/>
        </w:rPr>
      </w:pPr>
    </w:p>
    <w:p w14:paraId="3F311323" w14:textId="77777777" w:rsidR="00AE035F" w:rsidRPr="00E318D3" w:rsidRDefault="00175092" w:rsidP="00AE035F">
      <w:pPr>
        <w:pStyle w:val="Naslov1"/>
        <w:rPr>
          <w:lang w:val="fr-FR"/>
        </w:rPr>
      </w:pPr>
      <w:r w:rsidRPr="00E318D3">
        <w:rPr>
          <w:lang w:val="fr-FR"/>
        </w:rPr>
        <w:br w:type="page"/>
      </w:r>
      <w:bookmarkStart w:id="4" w:name="_Toc263078249"/>
      <w:bookmarkStart w:id="5" w:name="_Toc455406898"/>
      <w:r w:rsidR="00E318D3">
        <w:rPr>
          <w:lang w:val="fr-FR"/>
        </w:rPr>
        <w:lastRenderedPageBreak/>
        <w:t>But, domaine d’application et audience</w:t>
      </w:r>
      <w:bookmarkEnd w:id="4"/>
      <w:bookmarkEnd w:id="5"/>
    </w:p>
    <w:p w14:paraId="58B7EC25" w14:textId="2829CB56" w:rsidR="006C3497" w:rsidRPr="009175B5" w:rsidRDefault="009175B5" w:rsidP="00DF09C9">
      <w:pPr>
        <w:rPr>
          <w:lang w:val="fr-FR"/>
        </w:rPr>
      </w:pPr>
      <w:r w:rsidRPr="009175B5">
        <w:rPr>
          <w:lang w:val="fr-FR"/>
        </w:rPr>
        <w:t xml:space="preserve">Le but de ce document est de définir le processus pour une consommation efficace de l’énergie et de l’eau </w:t>
      </w:r>
      <w:r>
        <w:rPr>
          <w:lang w:val="fr-FR"/>
        </w:rPr>
        <w:t>de façon à diminuer la consommation et les impacts négatifs sur l’environnement</w:t>
      </w:r>
      <w:r w:rsidR="006C3497" w:rsidRPr="009175B5">
        <w:rPr>
          <w:lang w:val="fr-FR"/>
        </w:rPr>
        <w:t>.</w:t>
      </w:r>
      <w:r w:rsidR="00A643BD" w:rsidRPr="009175B5">
        <w:rPr>
          <w:lang w:val="fr-FR"/>
        </w:rPr>
        <w:t xml:space="preserve"> </w:t>
      </w:r>
    </w:p>
    <w:p w14:paraId="22EB3DC1" w14:textId="3C397E27" w:rsidR="00DF09C9" w:rsidRPr="009175B5" w:rsidRDefault="009175B5" w:rsidP="00DF09C9">
      <w:pPr>
        <w:rPr>
          <w:lang w:val="fr-FR"/>
        </w:rPr>
      </w:pPr>
      <w:r w:rsidRPr="009175B5">
        <w:rPr>
          <w:lang w:val="fr-FR"/>
        </w:rPr>
        <w:t>Ce document s’applique à toute</w:t>
      </w:r>
      <w:r>
        <w:rPr>
          <w:lang w:val="fr-FR"/>
        </w:rPr>
        <w:t>s les activités et processus de</w:t>
      </w:r>
      <w:r w:rsidR="00FC709C" w:rsidRPr="009175B5">
        <w:rPr>
          <w:lang w:val="fr-FR"/>
        </w:rPr>
        <w:t xml:space="preserve"> </w:t>
      </w:r>
      <w:r w:rsidR="006C3497" w:rsidRPr="009175B5">
        <w:rPr>
          <w:lang w:val="fr-FR"/>
        </w:rPr>
        <w:t>[</w:t>
      </w:r>
      <w:r>
        <w:rPr>
          <w:lang w:val="fr-FR"/>
        </w:rPr>
        <w:t>nom de l’organis</w:t>
      </w:r>
      <w:r w:rsidR="00075492" w:rsidRPr="009175B5">
        <w:rPr>
          <w:lang w:val="fr-FR"/>
        </w:rPr>
        <w:t>me</w:t>
      </w:r>
      <w:r w:rsidR="00FC709C" w:rsidRPr="009175B5">
        <w:rPr>
          <w:lang w:val="fr-FR"/>
        </w:rPr>
        <w:t>]</w:t>
      </w:r>
      <w:r w:rsidR="00075492" w:rsidRPr="009175B5">
        <w:rPr>
          <w:lang w:val="fr-FR"/>
        </w:rPr>
        <w:t>.</w:t>
      </w:r>
    </w:p>
    <w:p w14:paraId="35ACE7AF" w14:textId="191F79F5" w:rsidR="00AE035F" w:rsidRPr="009175B5" w:rsidRDefault="009175B5" w:rsidP="00AE035F">
      <w:pPr>
        <w:rPr>
          <w:lang w:val="fr-FR"/>
        </w:rPr>
      </w:pPr>
      <w:r w:rsidRPr="009175B5">
        <w:rPr>
          <w:lang w:val="fr-FR"/>
        </w:rPr>
        <w:t>Les utilisateurs de ce doc</w:t>
      </w:r>
      <w:r>
        <w:rPr>
          <w:lang w:val="fr-FR"/>
        </w:rPr>
        <w:t>ument sont tous les employés de</w:t>
      </w:r>
      <w:r w:rsidR="00175092" w:rsidRPr="009175B5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9175B5">
        <w:rPr>
          <w:lang w:val="fr-FR"/>
        </w:rPr>
        <w:t xml:space="preserve">me]. </w:t>
      </w:r>
    </w:p>
    <w:p w14:paraId="454104DB" w14:textId="77777777" w:rsidR="00AE035F" w:rsidRPr="009175B5" w:rsidRDefault="00AE035F" w:rsidP="00AE035F">
      <w:pPr>
        <w:rPr>
          <w:lang w:val="fr-FR"/>
        </w:rPr>
      </w:pPr>
    </w:p>
    <w:p w14:paraId="6A642F0E" w14:textId="77777777" w:rsidR="00AE035F" w:rsidRPr="00E318D3" w:rsidRDefault="00E318D3" w:rsidP="00AE035F">
      <w:pPr>
        <w:pStyle w:val="Naslov1"/>
        <w:rPr>
          <w:lang w:val="fr-FR"/>
        </w:rPr>
      </w:pPr>
      <w:bookmarkStart w:id="6" w:name="_Toc263078250"/>
      <w:bookmarkStart w:id="7" w:name="_Toc455406899"/>
      <w:r>
        <w:rPr>
          <w:lang w:val="fr-FR"/>
        </w:rPr>
        <w:t>D</w:t>
      </w:r>
      <w:r w:rsidR="00175092" w:rsidRPr="00E318D3">
        <w:rPr>
          <w:lang w:val="fr-FR"/>
        </w:rPr>
        <w:t>ocuments</w:t>
      </w:r>
      <w:bookmarkEnd w:id="6"/>
      <w:r>
        <w:rPr>
          <w:lang w:val="fr-FR"/>
        </w:rPr>
        <w:t xml:space="preserve"> référencés</w:t>
      </w:r>
      <w:bookmarkEnd w:id="7"/>
    </w:p>
    <w:p w14:paraId="18795FE8" w14:textId="77777777" w:rsidR="009175B5" w:rsidRPr="007D70E2" w:rsidRDefault="009175B5" w:rsidP="009175B5">
      <w:pPr>
        <w:numPr>
          <w:ilvl w:val="0"/>
          <w:numId w:val="2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Pr="007D70E2">
        <w:rPr>
          <w:lang w:val="fr-FR"/>
        </w:rPr>
        <w:t>ISO 14001:2015, clause 8.1</w:t>
      </w:r>
    </w:p>
    <w:p w14:paraId="03611775" w14:textId="77777777" w:rsidR="009175B5" w:rsidRPr="007D70E2" w:rsidRDefault="009175B5" w:rsidP="009175B5">
      <w:pPr>
        <w:numPr>
          <w:ilvl w:val="0"/>
          <w:numId w:val="2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3ECDA49E" w14:textId="77777777" w:rsidR="009175B5" w:rsidRPr="007D70E2" w:rsidRDefault="009175B5" w:rsidP="009175B5">
      <w:pPr>
        <w:numPr>
          <w:ilvl w:val="0"/>
          <w:numId w:val="2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72311551" w14:textId="77777777" w:rsidR="009175B5" w:rsidRPr="007D70E2" w:rsidRDefault="009175B5" w:rsidP="009175B5">
      <w:pPr>
        <w:numPr>
          <w:ilvl w:val="0"/>
          <w:numId w:val="2"/>
        </w:numPr>
        <w:spacing w:after="0"/>
        <w:rPr>
          <w:lang w:val="fr-FR"/>
        </w:rPr>
      </w:pPr>
      <w:r w:rsidRPr="008D2EA5">
        <w:rPr>
          <w:lang w:val="fr-FR"/>
        </w:rPr>
        <w:t>Procédure pour l’identification et l’évaluation des aspects environnementaux</w:t>
      </w:r>
    </w:p>
    <w:p w14:paraId="600BAF0C" w14:textId="77777777" w:rsidR="009175B5" w:rsidRDefault="009175B5" w:rsidP="009175B5">
      <w:pPr>
        <w:numPr>
          <w:ilvl w:val="0"/>
          <w:numId w:val="2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7456B4BA" w14:textId="5A95A9B5" w:rsidR="009175B5" w:rsidRPr="007D70E2" w:rsidRDefault="009175B5" w:rsidP="009175B5">
      <w:pPr>
        <w:numPr>
          <w:ilvl w:val="0"/>
          <w:numId w:val="2"/>
        </w:numPr>
        <w:spacing w:after="0"/>
        <w:rPr>
          <w:lang w:val="fr-FR"/>
        </w:rPr>
      </w:pPr>
      <w:r>
        <w:rPr>
          <w:lang w:val="fr-FR"/>
        </w:rPr>
        <w:t>Procé</w:t>
      </w:r>
      <w:r w:rsidRPr="00EA1978">
        <w:rPr>
          <w:lang w:val="fr-FR"/>
        </w:rPr>
        <w:t xml:space="preserve">dures </w:t>
      </w:r>
      <w:r>
        <w:rPr>
          <w:lang w:val="fr-FR"/>
        </w:rPr>
        <w:t>pour la préparation et l'intervention en cas d'urgence</w:t>
      </w:r>
    </w:p>
    <w:p w14:paraId="4AA367B4" w14:textId="35D5F314" w:rsidR="00ED61FD" w:rsidRPr="009175B5" w:rsidRDefault="009175B5" w:rsidP="009175B5">
      <w:pPr>
        <w:numPr>
          <w:ilvl w:val="0"/>
          <w:numId w:val="2"/>
        </w:numPr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79CE2F64" w14:textId="77777777" w:rsidR="00B95972" w:rsidRPr="009175B5" w:rsidRDefault="00B95972" w:rsidP="00B95972">
      <w:pPr>
        <w:spacing w:before="240"/>
        <w:rPr>
          <w:lang w:val="fr-FR"/>
        </w:rPr>
      </w:pPr>
    </w:p>
    <w:p w14:paraId="75FD08B6" w14:textId="77777777" w:rsidR="00AE035F" w:rsidRPr="00E318D3" w:rsidRDefault="00E318D3" w:rsidP="00AE035F">
      <w:pPr>
        <w:pStyle w:val="Naslov1"/>
        <w:rPr>
          <w:lang w:val="fr-FR"/>
        </w:rPr>
      </w:pPr>
      <w:bookmarkStart w:id="8" w:name="_Toc455406900"/>
      <w:r>
        <w:rPr>
          <w:lang w:val="fr-FR"/>
        </w:rPr>
        <w:t>Gestion de l’énergie et de l’eau</w:t>
      </w:r>
      <w:bookmarkEnd w:id="8"/>
    </w:p>
    <w:p w14:paraId="074411DA" w14:textId="77777777" w:rsidR="00F462ED" w:rsidRPr="00E318D3" w:rsidRDefault="00E318D3" w:rsidP="00324205">
      <w:pPr>
        <w:pStyle w:val="Naslov2"/>
        <w:rPr>
          <w:lang w:val="fr-FR"/>
        </w:rPr>
      </w:pPr>
      <w:bookmarkStart w:id="9" w:name="_Toc455406901"/>
      <w:r w:rsidRPr="00E318D3">
        <w:rPr>
          <w:lang w:val="fr-FR"/>
        </w:rPr>
        <w:t xml:space="preserve">Examen des systèmes d’approvisionnement en énergie et en eau et des possibilités de </w:t>
      </w:r>
      <w:r>
        <w:rPr>
          <w:lang w:val="fr-FR"/>
        </w:rPr>
        <w:t>conservation</w:t>
      </w:r>
      <w:bookmarkEnd w:id="9"/>
    </w:p>
    <w:p w14:paraId="596D82AE" w14:textId="52DEE99C" w:rsidR="00324205" w:rsidRPr="003B6930" w:rsidRDefault="00324205" w:rsidP="00324205">
      <w:pPr>
        <w:rPr>
          <w:lang w:val="fr-FR"/>
        </w:rPr>
      </w:pPr>
      <w:commentRangeStart w:id="10"/>
      <w:r w:rsidRPr="003B6930">
        <w:rPr>
          <w:lang w:val="fr-FR"/>
        </w:rPr>
        <w:t>[</w:t>
      </w:r>
      <w:r w:rsidR="009175B5" w:rsidRPr="003B6930">
        <w:rPr>
          <w:lang w:val="fr-FR"/>
        </w:rPr>
        <w:t>Titre du post</w:t>
      </w:r>
      <w:r w:rsidRPr="003B6930">
        <w:rPr>
          <w:lang w:val="fr-FR"/>
        </w:rPr>
        <w:t xml:space="preserve">e] </w:t>
      </w:r>
      <w:r w:rsidR="00554169" w:rsidRPr="003B6930">
        <w:rPr>
          <w:lang w:val="fr-FR"/>
        </w:rPr>
        <w:t>anal</w:t>
      </w:r>
      <w:r w:rsidR="009175B5" w:rsidRPr="003B6930">
        <w:rPr>
          <w:lang w:val="fr-FR"/>
        </w:rPr>
        <w:t>yse l’</w:t>
      </w:r>
      <w:r w:rsidR="003B6930" w:rsidRPr="003B6930">
        <w:rPr>
          <w:lang w:val="fr-FR"/>
        </w:rPr>
        <w:t>én</w:t>
      </w:r>
      <w:r w:rsidR="009175B5" w:rsidRPr="003B6930">
        <w:rPr>
          <w:lang w:val="fr-FR"/>
        </w:rPr>
        <w:t xml:space="preserve">ergie </w:t>
      </w:r>
      <w:r w:rsidR="003B6930" w:rsidRPr="003B6930">
        <w:rPr>
          <w:lang w:val="fr-FR"/>
        </w:rPr>
        <w:t>et les pratiques des équipements utilisant de l’eau</w:t>
      </w:r>
      <w:r w:rsidRPr="003B6930">
        <w:rPr>
          <w:lang w:val="fr-FR"/>
        </w:rPr>
        <w:t xml:space="preserve">, </w:t>
      </w:r>
      <w:r w:rsidR="003B6930">
        <w:rPr>
          <w:lang w:val="fr-FR"/>
        </w:rPr>
        <w:t>vérifie le classement d’efficacité énergétique, les classements de conservation de l’eau, comment les bâtiments et les équipements sont exploités et entretenus, et la protection globale de l’environnement</w:t>
      </w:r>
      <w:commentRangeEnd w:id="10"/>
      <w:r w:rsidR="00DD7D67" w:rsidRPr="00E318D3">
        <w:rPr>
          <w:rStyle w:val="Referencakomentara"/>
          <w:lang w:val="fr-FR"/>
        </w:rPr>
        <w:commentReference w:id="10"/>
      </w:r>
      <w:r w:rsidRPr="003B6930">
        <w:rPr>
          <w:lang w:val="fr-FR"/>
        </w:rPr>
        <w:t>.</w:t>
      </w:r>
      <w:r w:rsidR="00A643BD" w:rsidRPr="003B6930">
        <w:rPr>
          <w:lang w:val="fr-FR"/>
        </w:rPr>
        <w:t xml:space="preserve"> </w:t>
      </w:r>
    </w:p>
    <w:p w14:paraId="593B26AD" w14:textId="544E517C" w:rsidR="00324205" w:rsidRPr="003B6930" w:rsidRDefault="003B6930" w:rsidP="00324205">
      <w:pPr>
        <w:rPr>
          <w:lang w:val="fr-FR"/>
        </w:rPr>
      </w:pPr>
      <w:r w:rsidRPr="003B6930">
        <w:rPr>
          <w:lang w:val="fr-FR"/>
        </w:rPr>
        <w:t>En analysant</w:t>
      </w:r>
      <w:r w:rsidR="00324205" w:rsidRPr="003B6930">
        <w:rPr>
          <w:lang w:val="fr-FR"/>
        </w:rPr>
        <w:t>, [</w:t>
      </w:r>
      <w:r w:rsidRPr="003B6930">
        <w:rPr>
          <w:lang w:val="fr-FR"/>
        </w:rPr>
        <w:t>titre du post</w:t>
      </w:r>
      <w:r w:rsidR="00324205" w:rsidRPr="003B6930">
        <w:rPr>
          <w:lang w:val="fr-FR"/>
        </w:rPr>
        <w:t xml:space="preserve">e] </w:t>
      </w:r>
      <w:r w:rsidRPr="003B6930">
        <w:rPr>
          <w:lang w:val="fr-FR"/>
        </w:rPr>
        <w:t>doit identifier les opportunités pour la conservation de l’énergie et de l’eau, y compris</w:t>
      </w:r>
      <w:r w:rsidR="00324205" w:rsidRPr="003B6930">
        <w:rPr>
          <w:lang w:val="fr-FR"/>
        </w:rPr>
        <w:t xml:space="preserve">: </w:t>
      </w:r>
    </w:p>
    <w:p w14:paraId="4D47900A" w14:textId="3AB18890" w:rsidR="00324205" w:rsidRPr="003B6930" w:rsidRDefault="003B6930" w:rsidP="00DA4390">
      <w:pPr>
        <w:pStyle w:val="Odlomakpopisa"/>
        <w:numPr>
          <w:ilvl w:val="0"/>
          <w:numId w:val="4"/>
        </w:numPr>
        <w:rPr>
          <w:lang w:val="fr-FR"/>
        </w:rPr>
      </w:pPr>
      <w:r w:rsidRPr="003B6930">
        <w:rPr>
          <w:lang w:val="fr-FR"/>
        </w:rPr>
        <w:t>Réglage et entretien des équipements de façon à ce qu’ils fonct</w:t>
      </w:r>
      <w:r>
        <w:rPr>
          <w:lang w:val="fr-FR"/>
        </w:rPr>
        <w:t>ionnent plus efficacement</w:t>
      </w:r>
      <w:r w:rsidR="00324205" w:rsidRPr="003B6930">
        <w:rPr>
          <w:lang w:val="fr-FR"/>
        </w:rPr>
        <w:t>.</w:t>
      </w:r>
    </w:p>
    <w:p w14:paraId="4D6DBDA1" w14:textId="69D044AB" w:rsidR="00324205" w:rsidRPr="003B6930" w:rsidRDefault="003B6930" w:rsidP="00DA4390">
      <w:pPr>
        <w:pStyle w:val="Odlomakpopisa"/>
        <w:numPr>
          <w:ilvl w:val="0"/>
          <w:numId w:val="4"/>
        </w:numPr>
        <w:rPr>
          <w:lang w:val="fr-FR"/>
        </w:rPr>
      </w:pPr>
      <w:r w:rsidRPr="003B6930">
        <w:rPr>
          <w:lang w:val="fr-FR"/>
        </w:rPr>
        <w:t xml:space="preserve">Ajustement des paramètres du thermostat, </w:t>
      </w:r>
      <w:r w:rsidR="00B32742" w:rsidRPr="003B6930">
        <w:rPr>
          <w:lang w:val="fr-FR"/>
        </w:rPr>
        <w:t>réduction</w:t>
      </w:r>
      <w:r w:rsidRPr="003B6930">
        <w:rPr>
          <w:lang w:val="fr-FR"/>
        </w:rPr>
        <w:t xml:space="preserve"> des </w:t>
      </w:r>
      <w:r w:rsidR="00B32742" w:rsidRPr="003B6930">
        <w:rPr>
          <w:lang w:val="fr-FR"/>
        </w:rPr>
        <w:t>éclairages</w:t>
      </w:r>
      <w:r w:rsidRPr="003B6930">
        <w:rPr>
          <w:lang w:val="fr-FR"/>
        </w:rPr>
        <w:t xml:space="preserve"> inutiles, calfeutrage des fenêtres et des portes, </w:t>
      </w:r>
      <w:r w:rsidR="00B32742" w:rsidRPr="003B6930">
        <w:rPr>
          <w:lang w:val="fr-FR"/>
        </w:rPr>
        <w:t>éducation</w:t>
      </w:r>
      <w:r w:rsidRPr="003B6930">
        <w:rPr>
          <w:lang w:val="fr-FR"/>
        </w:rPr>
        <w:t xml:space="preserve"> des employés (par exemple, utilisation des escalier</w:t>
      </w:r>
      <w:r>
        <w:rPr>
          <w:lang w:val="fr-FR"/>
        </w:rPr>
        <w:t>s au lieu de l’</w:t>
      </w:r>
      <w:r w:rsidR="00B32742">
        <w:rPr>
          <w:lang w:val="fr-FR"/>
        </w:rPr>
        <w:t>ascenseur</w:t>
      </w:r>
      <w:r w:rsidR="00324205" w:rsidRPr="003B6930">
        <w:rPr>
          <w:lang w:val="fr-FR"/>
        </w:rPr>
        <w:t>).</w:t>
      </w:r>
    </w:p>
    <w:p w14:paraId="061095D8" w14:textId="517AF513" w:rsidR="00324205" w:rsidRPr="00B32742" w:rsidRDefault="00B32742" w:rsidP="00DA4390">
      <w:pPr>
        <w:pStyle w:val="Odlomakpopisa"/>
        <w:numPr>
          <w:ilvl w:val="0"/>
          <w:numId w:val="4"/>
        </w:numPr>
        <w:rPr>
          <w:lang w:val="fr-FR"/>
        </w:rPr>
      </w:pPr>
      <w:r w:rsidRPr="00B32742">
        <w:rPr>
          <w:lang w:val="fr-FR"/>
        </w:rPr>
        <w:t xml:space="preserve">Réparation de plomberie et des fuites des équipements et veiller à ce que l’eau ne reste pas </w:t>
      </w:r>
      <w:r>
        <w:rPr>
          <w:lang w:val="fr-FR"/>
        </w:rPr>
        <w:t>inutilement</w:t>
      </w:r>
    </w:p>
    <w:p w14:paraId="45513677" w14:textId="77777777" w:rsidR="00324205" w:rsidRPr="00E318D3" w:rsidRDefault="00697F49" w:rsidP="00324205">
      <w:pPr>
        <w:pStyle w:val="Naslov2"/>
        <w:rPr>
          <w:lang w:val="fr-FR"/>
        </w:rPr>
      </w:pPr>
      <w:bookmarkStart w:id="11" w:name="_Toc455406902"/>
      <w:r w:rsidRPr="00E318D3">
        <w:rPr>
          <w:lang w:val="fr-FR"/>
        </w:rPr>
        <w:t>D</w:t>
      </w:r>
      <w:r w:rsidR="00E318D3">
        <w:rPr>
          <w:lang w:val="fr-FR"/>
        </w:rPr>
        <w:t>éfinition des actions pour diminuer la consommation d’énergie et d’eau</w:t>
      </w:r>
      <w:bookmarkEnd w:id="11"/>
    </w:p>
    <w:p w14:paraId="57A35982" w14:textId="651B7AB2" w:rsidR="00697F49" w:rsidRPr="0065734D" w:rsidRDefault="0065734D" w:rsidP="00697F49">
      <w:pPr>
        <w:rPr>
          <w:lang w:val="fr-FR"/>
        </w:rPr>
      </w:pPr>
      <w:r w:rsidRPr="0065734D">
        <w:rPr>
          <w:lang w:val="fr-FR"/>
        </w:rPr>
        <w:t>Les résultats de l’analyse se traduiront par des règles prescrites par</w:t>
      </w:r>
      <w:r w:rsidR="00697F49" w:rsidRPr="0065734D">
        <w:rPr>
          <w:lang w:val="fr-FR"/>
        </w:rPr>
        <w:t xml:space="preserve"> [</w:t>
      </w:r>
      <w:r w:rsidRPr="0065734D">
        <w:rPr>
          <w:lang w:val="fr-FR"/>
        </w:rPr>
        <w:t>titre du post</w:t>
      </w:r>
      <w:r w:rsidR="00697F49" w:rsidRPr="0065734D">
        <w:rPr>
          <w:lang w:val="fr-FR"/>
        </w:rPr>
        <w:t>e] co</w:t>
      </w:r>
      <w:r>
        <w:rPr>
          <w:lang w:val="fr-FR"/>
        </w:rPr>
        <w:t>uvrant les domaines de l’énergie et de l’eau suivants</w:t>
      </w:r>
      <w:r w:rsidR="00697F49" w:rsidRPr="0065734D">
        <w:rPr>
          <w:lang w:val="fr-FR"/>
        </w:rPr>
        <w:t>:</w:t>
      </w:r>
    </w:p>
    <w:p w14:paraId="30ADA7BE" w14:textId="568B538D" w:rsidR="00697F49" w:rsidRPr="00E318D3" w:rsidRDefault="0065734D" w:rsidP="00DA4390">
      <w:pPr>
        <w:pStyle w:val="Odlomakpopisa"/>
        <w:numPr>
          <w:ilvl w:val="0"/>
          <w:numId w:val="5"/>
        </w:numPr>
        <w:rPr>
          <w:lang w:val="fr-FR"/>
        </w:rPr>
      </w:pPr>
      <w:r>
        <w:rPr>
          <w:lang w:val="fr-FR"/>
        </w:rPr>
        <w:lastRenderedPageBreak/>
        <w:t>Eclairage intérieur et extérieur</w:t>
      </w:r>
    </w:p>
    <w:p w14:paraId="110903DC" w14:textId="571F9230" w:rsidR="00554169" w:rsidRPr="00E318D3" w:rsidRDefault="0065734D" w:rsidP="00DA4390">
      <w:pPr>
        <w:pStyle w:val="Odlomakpopisa"/>
        <w:numPr>
          <w:ilvl w:val="0"/>
          <w:numId w:val="5"/>
        </w:numPr>
        <w:rPr>
          <w:lang w:val="fr-FR"/>
        </w:rPr>
      </w:pPr>
      <w:r>
        <w:rPr>
          <w:lang w:val="fr-FR"/>
        </w:rPr>
        <w:t>Equipement de bureau</w:t>
      </w:r>
    </w:p>
    <w:p w14:paraId="21E5CE9D" w14:textId="5AC8A874" w:rsidR="00697F49" w:rsidRPr="00E318D3" w:rsidRDefault="0008696F" w:rsidP="00DA4390">
      <w:pPr>
        <w:pStyle w:val="Odlomakpopisa"/>
        <w:numPr>
          <w:ilvl w:val="0"/>
          <w:numId w:val="5"/>
        </w:numPr>
        <w:rPr>
          <w:lang w:val="fr-FR"/>
        </w:rPr>
      </w:pPr>
      <w:r>
        <w:rPr>
          <w:lang w:val="fr-FR"/>
        </w:rPr>
        <w:t>…</w:t>
      </w:r>
    </w:p>
    <w:p w14:paraId="779AA73D" w14:textId="637700FC" w:rsidR="00F76F65" w:rsidRDefault="00F76F65">
      <w:pPr>
        <w:rPr>
          <w:lang w:val="fr-FR"/>
        </w:rPr>
      </w:pPr>
    </w:p>
    <w:p w14:paraId="676DBBCE" w14:textId="71A109AB" w:rsidR="0008696F" w:rsidRDefault="0008696F">
      <w:pPr>
        <w:rPr>
          <w:lang w:val="fr-FR"/>
        </w:rPr>
      </w:pPr>
    </w:p>
    <w:p w14:paraId="77731E6D" w14:textId="77777777" w:rsidR="0008696F" w:rsidRPr="0008696F" w:rsidRDefault="0008696F" w:rsidP="0008696F">
      <w:pPr>
        <w:jc w:val="center"/>
        <w:rPr>
          <w:lang w:val="fr-FR"/>
        </w:rPr>
      </w:pPr>
      <w:r w:rsidRPr="0008696F">
        <w:rPr>
          <w:lang w:val="fr-FR"/>
        </w:rPr>
        <w:t>** FIN DE L'APERCU GRATUIT **</w:t>
      </w:r>
    </w:p>
    <w:p w14:paraId="49FCEAF1" w14:textId="0CFC6833" w:rsidR="0008696F" w:rsidRPr="006F47B5" w:rsidRDefault="0008696F" w:rsidP="0008696F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4D4333">
          <w:rPr>
            <w:rStyle w:val="Hiperveza"/>
            <w:lang w:val="fr-FR"/>
          </w:rPr>
          <w:t>http://advisera.com/14001academy/fr/documentation/ligne-directrice-pour-la-gestion-de-lenergie-et-de-leau/</w:t>
        </w:r>
      </w:hyperlink>
      <w:r>
        <w:rPr>
          <w:lang w:val="fr-FR"/>
        </w:rPr>
        <w:t xml:space="preserve"> </w:t>
      </w:r>
      <w:bookmarkStart w:id="12" w:name="_GoBack"/>
      <w:bookmarkEnd w:id="12"/>
      <w:r w:rsidRPr="0032144A">
        <w:rPr>
          <w:lang w:val="fr-FR"/>
        </w:rPr>
        <w:br/>
      </w:r>
    </w:p>
    <w:sectPr w:rsidR="0008696F" w:rsidRPr="006F47B5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633B77E8" w14:textId="77777777" w:rsidR="00AE2736" w:rsidRPr="00E318D3" w:rsidRDefault="00AE27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Tous les champs dans ce document marqués avec des cr</w:t>
      </w:r>
      <w:r>
        <w:rPr>
          <w:lang w:val="fr-FR"/>
        </w:rPr>
        <w:t>ochets [ ] doivent être remplis.</w:t>
      </w:r>
    </w:p>
  </w:comment>
  <w:comment w:id="1" w:author="14001Academy" w:date="2014-11-09T12:58:00Z" w:initials="14A">
    <w:p w14:paraId="7B73F4B1" w14:textId="77777777" w:rsidR="00AE2736" w:rsidRPr="00E318D3" w:rsidRDefault="00AE27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2634F4">
        <w:rPr>
          <w:lang w:val="fr-FR"/>
        </w:rPr>
        <w:t>Adaptez aux pratiques existantes de l’organisme</w:t>
      </w:r>
      <w:r w:rsidRPr="00D343A9">
        <w:rPr>
          <w:lang w:val="fr-FR"/>
        </w:rPr>
        <w:t>.</w:t>
      </w:r>
    </w:p>
  </w:comment>
  <w:comment w:id="3" w:author="14001Academy" w:date="2014-11-09T12:58:00Z" w:initials="14A">
    <w:p w14:paraId="2A7F1C58" w14:textId="77777777" w:rsidR="00AE2736" w:rsidRPr="00E318D3" w:rsidRDefault="00AE27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documents sont sous forme papier ; sinon ce tableau devrait être supprimé.</w:t>
      </w:r>
    </w:p>
  </w:comment>
  <w:comment w:id="10" w:author="14001Academy" w:date="2014-11-27T10:48:00Z" w:initials="14A">
    <w:p w14:paraId="696F2120" w14:textId="296B2987" w:rsidR="00AE2736" w:rsidRPr="0065734D" w:rsidRDefault="00AE2736">
      <w:pPr>
        <w:pStyle w:val="Tekstkomentara"/>
        <w:rPr>
          <w:lang w:val="fr-FR"/>
        </w:rPr>
      </w:pPr>
      <w:r w:rsidRPr="00FC0CF5">
        <w:rPr>
          <w:rStyle w:val="Referencakomentara"/>
          <w:lang w:val="en-US"/>
        </w:rPr>
        <w:annotationRef/>
      </w:r>
      <w:r w:rsidRPr="0065734D">
        <w:rPr>
          <w:lang w:val="fr-FR"/>
        </w:rPr>
        <w:t>Voici quelques conseils sur ce qui devrait être analysé et comment:</w:t>
      </w:r>
    </w:p>
    <w:p w14:paraId="6756BB90" w14:textId="22C9D568" w:rsidR="00AE2736" w:rsidRPr="0065734D" w:rsidRDefault="00AE2736" w:rsidP="00DD7D67">
      <w:pPr>
        <w:pStyle w:val="Tekstkomentara"/>
        <w:numPr>
          <w:ilvl w:val="0"/>
          <w:numId w:val="19"/>
        </w:numPr>
        <w:rPr>
          <w:lang w:val="fr-FR"/>
        </w:rPr>
      </w:pPr>
      <w:r w:rsidRPr="0065734D">
        <w:rPr>
          <w:lang w:val="fr-FR"/>
        </w:rPr>
        <w:t xml:space="preserve"> Vérifiez l’état de vos équipements consommant de l’énergie et de l’eau. Est-ce qu’ils fonctionnent correctement et dans les horaires de travail appropriés?</w:t>
      </w:r>
    </w:p>
    <w:p w14:paraId="05667595" w14:textId="038174A0" w:rsidR="00AE2736" w:rsidRPr="0065734D" w:rsidRDefault="00AE2736" w:rsidP="00DD7D67">
      <w:pPr>
        <w:pStyle w:val="Tekstkomentara"/>
        <w:numPr>
          <w:ilvl w:val="0"/>
          <w:numId w:val="19"/>
        </w:numPr>
        <w:rPr>
          <w:lang w:val="fr-FR"/>
        </w:rPr>
      </w:pPr>
      <w:r w:rsidRPr="0065734D">
        <w:rPr>
          <w:lang w:val="fr-FR"/>
        </w:rPr>
        <w:t xml:space="preserve"> </w:t>
      </w:r>
      <w:r>
        <w:rPr>
          <w:lang w:val="fr-FR"/>
        </w:rPr>
        <w:t xml:space="preserve">Inspectez vos installations de chauffage et d’air conditionné. </w:t>
      </w:r>
      <w:r w:rsidRPr="0065734D">
        <w:rPr>
          <w:lang w:val="fr-FR"/>
        </w:rPr>
        <w:t xml:space="preserve">Y a-t-il des fuites, de </w:t>
      </w:r>
      <w:r>
        <w:rPr>
          <w:lang w:val="fr-FR"/>
        </w:rPr>
        <w:t>la condensation, ou de la glace ?</w:t>
      </w:r>
    </w:p>
    <w:p w14:paraId="46B988AE" w14:textId="4005B32D" w:rsidR="00AE2736" w:rsidRPr="0065734D" w:rsidRDefault="00AE2736" w:rsidP="00DD7D67">
      <w:pPr>
        <w:pStyle w:val="Tekstkomentara"/>
        <w:numPr>
          <w:ilvl w:val="0"/>
          <w:numId w:val="19"/>
        </w:numPr>
        <w:rPr>
          <w:lang w:val="fr-FR"/>
        </w:rPr>
      </w:pPr>
      <w:r w:rsidRPr="0065734D">
        <w:rPr>
          <w:lang w:val="fr-FR"/>
        </w:rPr>
        <w:t xml:space="preserve"> Inspectez vos thermostats et valves sur les radiateurs.</w:t>
      </w:r>
    </w:p>
    <w:p w14:paraId="56BD53DA" w14:textId="7B5C0772" w:rsidR="00AE2736" w:rsidRPr="0065734D" w:rsidRDefault="00AE2736" w:rsidP="00DD7D67">
      <w:pPr>
        <w:pStyle w:val="Tekstkomentara"/>
        <w:numPr>
          <w:ilvl w:val="0"/>
          <w:numId w:val="19"/>
        </w:numPr>
        <w:rPr>
          <w:lang w:val="fr-FR"/>
        </w:rPr>
      </w:pPr>
      <w:r w:rsidRPr="0065734D">
        <w:rPr>
          <w:lang w:val="fr-FR"/>
        </w:rPr>
        <w:t xml:space="preserve"> </w:t>
      </w:r>
      <w:r>
        <w:rPr>
          <w:lang w:val="fr-FR"/>
        </w:rPr>
        <w:t>Vérifiez les horaires de chauffage / refroidissement</w:t>
      </w:r>
      <w:r w:rsidRPr="0065734D">
        <w:rPr>
          <w:lang w:val="fr-FR"/>
        </w:rPr>
        <w:t xml:space="preserve">. </w:t>
      </w:r>
      <w:r>
        <w:rPr>
          <w:lang w:val="fr-FR"/>
        </w:rPr>
        <w:t>Est-ce qu’ils correspondent à vos besoins ? Y a-t-il des pièces chauffées / refroidies que vous n’utilisez pas ?</w:t>
      </w:r>
    </w:p>
    <w:p w14:paraId="3846A777" w14:textId="0BBB9089" w:rsidR="00AE2736" w:rsidRPr="0065734D" w:rsidRDefault="00AE2736" w:rsidP="00DD7D67">
      <w:pPr>
        <w:pStyle w:val="Tekstkomentara"/>
        <w:numPr>
          <w:ilvl w:val="0"/>
          <w:numId w:val="19"/>
        </w:numPr>
        <w:rPr>
          <w:lang w:val="fr-FR"/>
        </w:rPr>
      </w:pPr>
      <w:r w:rsidRPr="0065734D">
        <w:rPr>
          <w:lang w:val="fr-FR"/>
        </w:rPr>
        <w:t xml:space="preserve"> Analysez les opportunités d’améliorer le système de chauffage / refroidissement avec de petites corrections, par exemple mettre des panneaux réfléchissants derrière les radiateurs pour pousser la chaleur dans la pièce.</w:t>
      </w:r>
    </w:p>
    <w:p w14:paraId="09934ED5" w14:textId="219D4111" w:rsidR="00AE2736" w:rsidRPr="0065734D" w:rsidRDefault="00AE2736" w:rsidP="00FC0CF5">
      <w:pPr>
        <w:pStyle w:val="Tekstkomentara"/>
        <w:numPr>
          <w:ilvl w:val="0"/>
          <w:numId w:val="19"/>
        </w:numPr>
        <w:rPr>
          <w:lang w:val="fr-FR"/>
        </w:rPr>
      </w:pPr>
      <w:r w:rsidRPr="0065734D">
        <w:rPr>
          <w:lang w:val="fr-FR"/>
        </w:rPr>
        <w:t xml:space="preserve"> Consultez votre équipe de maintenance ou une organisation externe sur ce qui peut être fait pour améliorer votre efficacité de consommation </w:t>
      </w:r>
      <w:r>
        <w:rPr>
          <w:lang w:val="fr-FR"/>
        </w:rPr>
        <w:t xml:space="preserve">d’eau et </w:t>
      </w:r>
      <w:r w:rsidRPr="0065734D">
        <w:rPr>
          <w:lang w:val="fr-FR"/>
        </w:rPr>
        <w:t xml:space="preserve">d’énergie </w:t>
      </w:r>
      <w:r>
        <w:rPr>
          <w:lang w:val="fr-FR"/>
        </w:rPr>
        <w:t>en considérant le retour sur investissement</w:t>
      </w:r>
      <w:r w:rsidRPr="0065734D">
        <w:rPr>
          <w:lang w:val="fr-FR"/>
        </w:rPr>
        <w:t xml:space="preserve"> (ROI).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3B77E8" w15:done="0"/>
  <w15:commentEx w15:paraId="7B73F4B1" w15:done="0"/>
  <w15:commentEx w15:paraId="2A7F1C58" w15:done="0"/>
  <w15:commentEx w15:paraId="09934ED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478A7" w14:textId="77777777" w:rsidR="00F11BE2" w:rsidRDefault="00F11BE2" w:rsidP="00AE035F">
      <w:pPr>
        <w:spacing w:after="0" w:line="240" w:lineRule="auto"/>
      </w:pPr>
      <w:r>
        <w:separator/>
      </w:r>
    </w:p>
  </w:endnote>
  <w:endnote w:type="continuationSeparator" w:id="0">
    <w:p w14:paraId="1655CAFB" w14:textId="77777777" w:rsidR="00F11BE2" w:rsidRDefault="00F11BE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2736" w:rsidRPr="00AE2736" w14:paraId="433EFED0" w14:textId="77777777" w:rsidTr="007C3F3D">
      <w:tc>
        <w:tcPr>
          <w:tcW w:w="3369" w:type="dxa"/>
        </w:tcPr>
        <w:p w14:paraId="1741DFF5" w14:textId="77777777" w:rsidR="00AE2736" w:rsidRPr="00AE2736" w:rsidRDefault="00AE2736" w:rsidP="00697F49">
          <w:pPr>
            <w:pStyle w:val="Podnoje"/>
            <w:rPr>
              <w:sz w:val="18"/>
              <w:szCs w:val="18"/>
              <w:lang w:val="fr-FR"/>
            </w:rPr>
          </w:pPr>
          <w:r w:rsidRPr="00AE2736">
            <w:rPr>
              <w:sz w:val="18"/>
              <w:lang w:val="fr-FR"/>
            </w:rPr>
            <w:t>Annexe 5 – Ligne directrice pour la gestion de l’énergie et de l’eau</w:t>
          </w:r>
        </w:p>
      </w:tc>
      <w:tc>
        <w:tcPr>
          <w:tcW w:w="2268" w:type="dxa"/>
        </w:tcPr>
        <w:p w14:paraId="55397366" w14:textId="77777777" w:rsidR="00AE2736" w:rsidRPr="00AE2736" w:rsidRDefault="00AE2736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AE2736">
            <w:rPr>
              <w:sz w:val="18"/>
              <w:lang w:val="fr-FR"/>
            </w:rPr>
            <w:t>ver [version] de [date]</w:t>
          </w:r>
        </w:p>
      </w:tc>
      <w:tc>
        <w:tcPr>
          <w:tcW w:w="3685" w:type="dxa"/>
        </w:tcPr>
        <w:p w14:paraId="180CEF24" w14:textId="5372D6FB" w:rsidR="00AE2736" w:rsidRPr="00AE2736" w:rsidRDefault="00AE2736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AE2736">
            <w:rPr>
              <w:sz w:val="18"/>
              <w:lang w:val="fr-FR"/>
            </w:rPr>
            <w:t xml:space="preserve">Page </w:t>
          </w:r>
          <w:r w:rsidRPr="00AE2736">
            <w:rPr>
              <w:b/>
              <w:sz w:val="18"/>
              <w:lang w:val="fr-FR"/>
            </w:rPr>
            <w:fldChar w:fldCharType="begin"/>
          </w:r>
          <w:r w:rsidRPr="00AE2736">
            <w:rPr>
              <w:b/>
              <w:sz w:val="18"/>
              <w:lang w:val="fr-FR"/>
            </w:rPr>
            <w:instrText xml:space="preserve"> PAGE </w:instrText>
          </w:r>
          <w:r w:rsidRPr="00AE2736">
            <w:rPr>
              <w:b/>
              <w:sz w:val="18"/>
              <w:lang w:val="fr-FR"/>
            </w:rPr>
            <w:fldChar w:fldCharType="separate"/>
          </w:r>
          <w:r w:rsidR="0008696F">
            <w:rPr>
              <w:b/>
              <w:noProof/>
              <w:sz w:val="18"/>
              <w:lang w:val="fr-FR"/>
            </w:rPr>
            <w:t>4</w:t>
          </w:r>
          <w:r w:rsidRPr="00AE2736">
            <w:rPr>
              <w:b/>
              <w:sz w:val="18"/>
              <w:lang w:val="fr-FR"/>
            </w:rPr>
            <w:fldChar w:fldCharType="end"/>
          </w:r>
          <w:r w:rsidRPr="00AE2736">
            <w:rPr>
              <w:sz w:val="18"/>
              <w:lang w:val="fr-FR"/>
            </w:rPr>
            <w:t xml:space="preserve"> de </w:t>
          </w:r>
          <w:r w:rsidRPr="00AE2736">
            <w:rPr>
              <w:b/>
              <w:sz w:val="18"/>
              <w:lang w:val="fr-FR"/>
            </w:rPr>
            <w:fldChar w:fldCharType="begin"/>
          </w:r>
          <w:r w:rsidRPr="00AE2736">
            <w:rPr>
              <w:b/>
              <w:sz w:val="18"/>
              <w:lang w:val="fr-FR"/>
            </w:rPr>
            <w:instrText xml:space="preserve"> NUMPAGES  </w:instrText>
          </w:r>
          <w:r w:rsidRPr="00AE2736">
            <w:rPr>
              <w:b/>
              <w:sz w:val="18"/>
              <w:lang w:val="fr-FR"/>
            </w:rPr>
            <w:fldChar w:fldCharType="separate"/>
          </w:r>
          <w:r w:rsidR="0008696F">
            <w:rPr>
              <w:b/>
              <w:noProof/>
              <w:sz w:val="18"/>
              <w:lang w:val="fr-FR"/>
            </w:rPr>
            <w:t>4</w:t>
          </w:r>
          <w:r w:rsidRPr="00AE2736">
            <w:rPr>
              <w:b/>
              <w:sz w:val="18"/>
              <w:lang w:val="fr-FR"/>
            </w:rPr>
            <w:fldChar w:fldCharType="end"/>
          </w:r>
        </w:p>
      </w:tc>
    </w:tr>
  </w:tbl>
  <w:p w14:paraId="62C23705" w14:textId="7FEA774D" w:rsidR="00AE2736" w:rsidRPr="00AE2736" w:rsidRDefault="00AE2736" w:rsidP="00E318D3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AE2736">
      <w:rPr>
        <w:rFonts w:eastAsia="Times New Roman"/>
        <w:sz w:val="16"/>
        <w:lang w:val="fr-FR"/>
      </w:rPr>
      <w:t>©201</w:t>
    </w:r>
    <w:r w:rsidR="006A3741">
      <w:rPr>
        <w:rFonts w:eastAsia="Times New Roman"/>
        <w:sz w:val="16"/>
        <w:lang w:val="fr-FR"/>
      </w:rPr>
      <w:t>6</w:t>
    </w:r>
    <w:r w:rsidRPr="00AE2736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</w:t>
    </w:r>
    <w:r w:rsidR="0074054F" w:rsidRPr="00AE2736">
      <w:rPr>
        <w:rFonts w:eastAsia="Times New Roman"/>
        <w:sz w:val="16"/>
        <w:lang w:val="fr-FR"/>
      </w:rPr>
      <w:t>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497B" w14:textId="60EFB6A3" w:rsidR="00AE2736" w:rsidRPr="00E318D3" w:rsidRDefault="00AE2736" w:rsidP="00E318D3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3" w:name="_Hlk433129638"/>
    <w:bookmarkStart w:id="14" w:name="OLE_LINK4"/>
    <w:bookmarkStart w:id="15" w:name="OLE_LINK3"/>
    <w:r w:rsidRPr="00644149">
      <w:rPr>
        <w:rFonts w:eastAsia="Times New Roman"/>
        <w:sz w:val="16"/>
        <w:lang w:val="fr-FR"/>
      </w:rPr>
      <w:t>©201</w:t>
    </w:r>
    <w:r w:rsidR="006A3741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3"/>
    <w:bookmarkEnd w:id="14"/>
    <w:bookmarkEnd w:id="15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02096" w14:textId="77777777" w:rsidR="00F11BE2" w:rsidRDefault="00F11BE2" w:rsidP="00AE035F">
      <w:pPr>
        <w:spacing w:after="0" w:line="240" w:lineRule="auto"/>
      </w:pPr>
      <w:r>
        <w:separator/>
      </w:r>
    </w:p>
  </w:footnote>
  <w:footnote w:type="continuationSeparator" w:id="0">
    <w:p w14:paraId="40D792F0" w14:textId="77777777" w:rsidR="00F11BE2" w:rsidRDefault="00F11BE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2736" w:rsidRPr="00AE5C4B" w14:paraId="5592D032" w14:textId="77777777" w:rsidTr="00AE035F">
      <w:tc>
        <w:tcPr>
          <w:tcW w:w="6771" w:type="dxa"/>
        </w:tcPr>
        <w:p w14:paraId="5941ADD8" w14:textId="77777777" w:rsidR="00AE2736" w:rsidRPr="00AE5C4B" w:rsidRDefault="00AE2736" w:rsidP="00AE035F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AE5C4B">
            <w:rPr>
              <w:sz w:val="20"/>
              <w:lang w:val="en-US"/>
            </w:rPr>
            <w:t xml:space="preserve"> [</w:t>
          </w:r>
          <w:r w:rsidRPr="00E318D3">
            <w:rPr>
              <w:sz w:val="20"/>
              <w:lang w:val="fr-FR"/>
            </w:rPr>
            <w:t>Nom de l’organisme]</w:t>
          </w:r>
        </w:p>
      </w:tc>
      <w:tc>
        <w:tcPr>
          <w:tcW w:w="2517" w:type="dxa"/>
        </w:tcPr>
        <w:p w14:paraId="47B7144E" w14:textId="77777777" w:rsidR="00AE2736" w:rsidRPr="00AE5C4B" w:rsidRDefault="00AE27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7C4A0286" w14:textId="77777777" w:rsidR="00AE2736" w:rsidRPr="00AE5C4B" w:rsidRDefault="00AE27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18"/>
  </w:num>
  <w:num w:numId="6">
    <w:abstractNumId w:val="15"/>
  </w:num>
  <w:num w:numId="7">
    <w:abstractNumId w:val="12"/>
  </w:num>
  <w:num w:numId="8">
    <w:abstractNumId w:val="4"/>
  </w:num>
  <w:num w:numId="9">
    <w:abstractNumId w:val="3"/>
  </w:num>
  <w:num w:numId="10">
    <w:abstractNumId w:val="14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2"/>
  </w:num>
  <w:num w:numId="18">
    <w:abstractNumId w:val="17"/>
  </w:num>
  <w:num w:numId="19">
    <w:abstractNumId w:val="16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6A32"/>
    <w:rsid w:val="00030D8E"/>
    <w:rsid w:val="00032C8D"/>
    <w:rsid w:val="00074A12"/>
    <w:rsid w:val="00075492"/>
    <w:rsid w:val="0007717B"/>
    <w:rsid w:val="00083033"/>
    <w:rsid w:val="0008696F"/>
    <w:rsid w:val="000A10A4"/>
    <w:rsid w:val="000B0E0C"/>
    <w:rsid w:val="000B2446"/>
    <w:rsid w:val="000B3DA3"/>
    <w:rsid w:val="000C0DC6"/>
    <w:rsid w:val="000C1731"/>
    <w:rsid w:val="000C4D63"/>
    <w:rsid w:val="000D767A"/>
    <w:rsid w:val="000E452B"/>
    <w:rsid w:val="000F1F0C"/>
    <w:rsid w:val="0010245B"/>
    <w:rsid w:val="00104F0F"/>
    <w:rsid w:val="001144EE"/>
    <w:rsid w:val="00117FB8"/>
    <w:rsid w:val="0012693F"/>
    <w:rsid w:val="00131E09"/>
    <w:rsid w:val="00155FA2"/>
    <w:rsid w:val="00161952"/>
    <w:rsid w:val="00163C2F"/>
    <w:rsid w:val="00172203"/>
    <w:rsid w:val="0017399D"/>
    <w:rsid w:val="00175092"/>
    <w:rsid w:val="001B0E11"/>
    <w:rsid w:val="001B6111"/>
    <w:rsid w:val="001B7754"/>
    <w:rsid w:val="001B7EBF"/>
    <w:rsid w:val="00214C67"/>
    <w:rsid w:val="002233F3"/>
    <w:rsid w:val="00233748"/>
    <w:rsid w:val="00240649"/>
    <w:rsid w:val="00243804"/>
    <w:rsid w:val="00257BC7"/>
    <w:rsid w:val="00262C28"/>
    <w:rsid w:val="002667C2"/>
    <w:rsid w:val="002729F8"/>
    <w:rsid w:val="00275B62"/>
    <w:rsid w:val="00282F32"/>
    <w:rsid w:val="00284E59"/>
    <w:rsid w:val="00291D00"/>
    <w:rsid w:val="002A31B8"/>
    <w:rsid w:val="002B2BED"/>
    <w:rsid w:val="002B4A1E"/>
    <w:rsid w:val="002B7ADE"/>
    <w:rsid w:val="002C7852"/>
    <w:rsid w:val="002D4D34"/>
    <w:rsid w:val="002D6016"/>
    <w:rsid w:val="002F4575"/>
    <w:rsid w:val="0030133F"/>
    <w:rsid w:val="00311A7E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645FE"/>
    <w:rsid w:val="003730EF"/>
    <w:rsid w:val="003864B2"/>
    <w:rsid w:val="003866E5"/>
    <w:rsid w:val="00393568"/>
    <w:rsid w:val="0039580F"/>
    <w:rsid w:val="00396DFC"/>
    <w:rsid w:val="003B38B4"/>
    <w:rsid w:val="003B6930"/>
    <w:rsid w:val="003B7321"/>
    <w:rsid w:val="003C26B1"/>
    <w:rsid w:val="003C57CE"/>
    <w:rsid w:val="003D3DC1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516BF"/>
    <w:rsid w:val="004619F0"/>
    <w:rsid w:val="004639E7"/>
    <w:rsid w:val="004642E6"/>
    <w:rsid w:val="00481108"/>
    <w:rsid w:val="004817B0"/>
    <w:rsid w:val="00486F3D"/>
    <w:rsid w:val="00491484"/>
    <w:rsid w:val="00494B5D"/>
    <w:rsid w:val="004A4757"/>
    <w:rsid w:val="004B0D48"/>
    <w:rsid w:val="004B57FB"/>
    <w:rsid w:val="004B5C55"/>
    <w:rsid w:val="004B6CDE"/>
    <w:rsid w:val="004B7046"/>
    <w:rsid w:val="004B79A5"/>
    <w:rsid w:val="004D4D38"/>
    <w:rsid w:val="004E063A"/>
    <w:rsid w:val="004E2CC9"/>
    <w:rsid w:val="004E56B9"/>
    <w:rsid w:val="004E56FA"/>
    <w:rsid w:val="004E5789"/>
    <w:rsid w:val="00505219"/>
    <w:rsid w:val="00507BC7"/>
    <w:rsid w:val="00511FB4"/>
    <w:rsid w:val="005360B0"/>
    <w:rsid w:val="0053648E"/>
    <w:rsid w:val="00541124"/>
    <w:rsid w:val="0054162F"/>
    <w:rsid w:val="0055229E"/>
    <w:rsid w:val="00553076"/>
    <w:rsid w:val="00554169"/>
    <w:rsid w:val="0056017B"/>
    <w:rsid w:val="00570A8D"/>
    <w:rsid w:val="00575AD0"/>
    <w:rsid w:val="00583D55"/>
    <w:rsid w:val="005845A8"/>
    <w:rsid w:val="00586240"/>
    <w:rsid w:val="00595DAA"/>
    <w:rsid w:val="005A56B2"/>
    <w:rsid w:val="005A753B"/>
    <w:rsid w:val="005C5E87"/>
    <w:rsid w:val="005D5D01"/>
    <w:rsid w:val="005E3A88"/>
    <w:rsid w:val="005F5405"/>
    <w:rsid w:val="006173D2"/>
    <w:rsid w:val="006211EA"/>
    <w:rsid w:val="006273A4"/>
    <w:rsid w:val="00632D32"/>
    <w:rsid w:val="0063742A"/>
    <w:rsid w:val="0064419D"/>
    <w:rsid w:val="006502A4"/>
    <w:rsid w:val="00654331"/>
    <w:rsid w:val="0065734D"/>
    <w:rsid w:val="00663200"/>
    <w:rsid w:val="0066732A"/>
    <w:rsid w:val="00674C25"/>
    <w:rsid w:val="00684B15"/>
    <w:rsid w:val="00687C6E"/>
    <w:rsid w:val="00687CEE"/>
    <w:rsid w:val="00691F16"/>
    <w:rsid w:val="006949AE"/>
    <w:rsid w:val="00697F49"/>
    <w:rsid w:val="006A3741"/>
    <w:rsid w:val="006B096D"/>
    <w:rsid w:val="006B3390"/>
    <w:rsid w:val="006C2FCE"/>
    <w:rsid w:val="006C3497"/>
    <w:rsid w:val="006D0F17"/>
    <w:rsid w:val="006D3EBC"/>
    <w:rsid w:val="006E18C1"/>
    <w:rsid w:val="006E25DA"/>
    <w:rsid w:val="006F0F01"/>
    <w:rsid w:val="006F47B5"/>
    <w:rsid w:val="006F5C99"/>
    <w:rsid w:val="006F7186"/>
    <w:rsid w:val="006F7DDC"/>
    <w:rsid w:val="00700F27"/>
    <w:rsid w:val="00712714"/>
    <w:rsid w:val="007349C5"/>
    <w:rsid w:val="0073797E"/>
    <w:rsid w:val="00737D70"/>
    <w:rsid w:val="0074054F"/>
    <w:rsid w:val="00741559"/>
    <w:rsid w:val="00742461"/>
    <w:rsid w:val="007B19AE"/>
    <w:rsid w:val="007B2B5E"/>
    <w:rsid w:val="007B69D3"/>
    <w:rsid w:val="007C2431"/>
    <w:rsid w:val="007C3F3D"/>
    <w:rsid w:val="007D2DF9"/>
    <w:rsid w:val="007D3D55"/>
    <w:rsid w:val="007D4BA1"/>
    <w:rsid w:val="007F1F1F"/>
    <w:rsid w:val="00813AF2"/>
    <w:rsid w:val="0082668A"/>
    <w:rsid w:val="00834794"/>
    <w:rsid w:val="00842FE0"/>
    <w:rsid w:val="00851810"/>
    <w:rsid w:val="00860283"/>
    <w:rsid w:val="008604BA"/>
    <w:rsid w:val="00874092"/>
    <w:rsid w:val="00875364"/>
    <w:rsid w:val="0088736D"/>
    <w:rsid w:val="008902DA"/>
    <w:rsid w:val="0089196F"/>
    <w:rsid w:val="008A35DD"/>
    <w:rsid w:val="008A50F4"/>
    <w:rsid w:val="008B428C"/>
    <w:rsid w:val="008B5811"/>
    <w:rsid w:val="008C7770"/>
    <w:rsid w:val="008D2BAB"/>
    <w:rsid w:val="008D4217"/>
    <w:rsid w:val="008D4914"/>
    <w:rsid w:val="008E4BA7"/>
    <w:rsid w:val="008E4E59"/>
    <w:rsid w:val="008E71D5"/>
    <w:rsid w:val="008F3603"/>
    <w:rsid w:val="008F61ED"/>
    <w:rsid w:val="00900558"/>
    <w:rsid w:val="00900909"/>
    <w:rsid w:val="00913C05"/>
    <w:rsid w:val="009175B5"/>
    <w:rsid w:val="00927DFD"/>
    <w:rsid w:val="009407B3"/>
    <w:rsid w:val="00955EA1"/>
    <w:rsid w:val="00955FF0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76547"/>
    <w:rsid w:val="00976C42"/>
    <w:rsid w:val="00985E97"/>
    <w:rsid w:val="009870E5"/>
    <w:rsid w:val="009A0B31"/>
    <w:rsid w:val="009C3F7A"/>
    <w:rsid w:val="009C470E"/>
    <w:rsid w:val="009E1428"/>
    <w:rsid w:val="009E20B0"/>
    <w:rsid w:val="009E77E6"/>
    <w:rsid w:val="009F3AFC"/>
    <w:rsid w:val="009F6D4B"/>
    <w:rsid w:val="00A01752"/>
    <w:rsid w:val="00A045BE"/>
    <w:rsid w:val="00A0654E"/>
    <w:rsid w:val="00A2656E"/>
    <w:rsid w:val="00A267CB"/>
    <w:rsid w:val="00A36DA4"/>
    <w:rsid w:val="00A41C15"/>
    <w:rsid w:val="00A42135"/>
    <w:rsid w:val="00A4226C"/>
    <w:rsid w:val="00A45679"/>
    <w:rsid w:val="00A643BD"/>
    <w:rsid w:val="00A7531D"/>
    <w:rsid w:val="00A7672C"/>
    <w:rsid w:val="00AA492B"/>
    <w:rsid w:val="00AB3ECD"/>
    <w:rsid w:val="00AB6353"/>
    <w:rsid w:val="00AB6A06"/>
    <w:rsid w:val="00AC1FD8"/>
    <w:rsid w:val="00AC7B98"/>
    <w:rsid w:val="00AD6E54"/>
    <w:rsid w:val="00AE035F"/>
    <w:rsid w:val="00AE1B29"/>
    <w:rsid w:val="00AE2736"/>
    <w:rsid w:val="00AE456F"/>
    <w:rsid w:val="00AE5C4B"/>
    <w:rsid w:val="00AE69F6"/>
    <w:rsid w:val="00B05376"/>
    <w:rsid w:val="00B108D2"/>
    <w:rsid w:val="00B12669"/>
    <w:rsid w:val="00B14CD2"/>
    <w:rsid w:val="00B225EF"/>
    <w:rsid w:val="00B24C8E"/>
    <w:rsid w:val="00B30623"/>
    <w:rsid w:val="00B32742"/>
    <w:rsid w:val="00B464ED"/>
    <w:rsid w:val="00B53332"/>
    <w:rsid w:val="00B61269"/>
    <w:rsid w:val="00B61F93"/>
    <w:rsid w:val="00B83A87"/>
    <w:rsid w:val="00B92A9E"/>
    <w:rsid w:val="00B95972"/>
    <w:rsid w:val="00B96603"/>
    <w:rsid w:val="00BB1F88"/>
    <w:rsid w:val="00BB58FE"/>
    <w:rsid w:val="00BB66F0"/>
    <w:rsid w:val="00BC457E"/>
    <w:rsid w:val="00BD1DAE"/>
    <w:rsid w:val="00BD5261"/>
    <w:rsid w:val="00BE7366"/>
    <w:rsid w:val="00BF0C08"/>
    <w:rsid w:val="00C12F81"/>
    <w:rsid w:val="00C16245"/>
    <w:rsid w:val="00C22728"/>
    <w:rsid w:val="00C3445E"/>
    <w:rsid w:val="00C35C93"/>
    <w:rsid w:val="00C47B89"/>
    <w:rsid w:val="00C50638"/>
    <w:rsid w:val="00C62342"/>
    <w:rsid w:val="00C62752"/>
    <w:rsid w:val="00C6574C"/>
    <w:rsid w:val="00C67043"/>
    <w:rsid w:val="00C72AEA"/>
    <w:rsid w:val="00C73C06"/>
    <w:rsid w:val="00C765CE"/>
    <w:rsid w:val="00C95F2B"/>
    <w:rsid w:val="00CA12E4"/>
    <w:rsid w:val="00CA23AF"/>
    <w:rsid w:val="00CD1E63"/>
    <w:rsid w:val="00CE5F3A"/>
    <w:rsid w:val="00CF739D"/>
    <w:rsid w:val="00D06E1B"/>
    <w:rsid w:val="00D2091F"/>
    <w:rsid w:val="00D301A4"/>
    <w:rsid w:val="00D31762"/>
    <w:rsid w:val="00D326E7"/>
    <w:rsid w:val="00D33250"/>
    <w:rsid w:val="00D3674A"/>
    <w:rsid w:val="00D45AF7"/>
    <w:rsid w:val="00D5568E"/>
    <w:rsid w:val="00D576D1"/>
    <w:rsid w:val="00D64245"/>
    <w:rsid w:val="00D7184B"/>
    <w:rsid w:val="00D72078"/>
    <w:rsid w:val="00D91C5E"/>
    <w:rsid w:val="00D94B43"/>
    <w:rsid w:val="00DA4390"/>
    <w:rsid w:val="00DA490C"/>
    <w:rsid w:val="00DA78C6"/>
    <w:rsid w:val="00DB0284"/>
    <w:rsid w:val="00DB2A53"/>
    <w:rsid w:val="00DB46A1"/>
    <w:rsid w:val="00DD2C83"/>
    <w:rsid w:val="00DD7BC0"/>
    <w:rsid w:val="00DD7D67"/>
    <w:rsid w:val="00DE32EC"/>
    <w:rsid w:val="00DF09C9"/>
    <w:rsid w:val="00DF78A1"/>
    <w:rsid w:val="00E00192"/>
    <w:rsid w:val="00E067E8"/>
    <w:rsid w:val="00E147B7"/>
    <w:rsid w:val="00E20C63"/>
    <w:rsid w:val="00E2272B"/>
    <w:rsid w:val="00E2761F"/>
    <w:rsid w:val="00E318D3"/>
    <w:rsid w:val="00E34F1A"/>
    <w:rsid w:val="00E35741"/>
    <w:rsid w:val="00E36BB4"/>
    <w:rsid w:val="00E46AD9"/>
    <w:rsid w:val="00E47C16"/>
    <w:rsid w:val="00E74D19"/>
    <w:rsid w:val="00E82B50"/>
    <w:rsid w:val="00E85258"/>
    <w:rsid w:val="00E95180"/>
    <w:rsid w:val="00EA129F"/>
    <w:rsid w:val="00EA4B07"/>
    <w:rsid w:val="00EC6736"/>
    <w:rsid w:val="00ED61FD"/>
    <w:rsid w:val="00EE4827"/>
    <w:rsid w:val="00EE4DB6"/>
    <w:rsid w:val="00EF2EA2"/>
    <w:rsid w:val="00F06DAF"/>
    <w:rsid w:val="00F07D6D"/>
    <w:rsid w:val="00F11315"/>
    <w:rsid w:val="00F11387"/>
    <w:rsid w:val="00F11BE2"/>
    <w:rsid w:val="00F13F5E"/>
    <w:rsid w:val="00F27440"/>
    <w:rsid w:val="00F33F82"/>
    <w:rsid w:val="00F359F1"/>
    <w:rsid w:val="00F3677B"/>
    <w:rsid w:val="00F4064C"/>
    <w:rsid w:val="00F416EC"/>
    <w:rsid w:val="00F4220D"/>
    <w:rsid w:val="00F4575D"/>
    <w:rsid w:val="00F45920"/>
    <w:rsid w:val="00F462ED"/>
    <w:rsid w:val="00F51CAB"/>
    <w:rsid w:val="00F56D92"/>
    <w:rsid w:val="00F61E7D"/>
    <w:rsid w:val="00F66238"/>
    <w:rsid w:val="00F76F65"/>
    <w:rsid w:val="00F86933"/>
    <w:rsid w:val="00F955A9"/>
    <w:rsid w:val="00FA72FE"/>
    <w:rsid w:val="00FB6DF5"/>
    <w:rsid w:val="00FC0C32"/>
    <w:rsid w:val="00FC0CF5"/>
    <w:rsid w:val="00FC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58889"/>
  <w15:docId w15:val="{9149D1F9-015D-4355-A29C-B9011141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083033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4516B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1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gne-directrice-pour-la-gestion-de-lenergie-et-de-leau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841B-F4FB-43FD-A4FA-7D04B535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Annexe 5 - Ligne directrice pour la gestion de l'énergie et de l'eau</vt:lpstr>
      <vt:lpstr>Annexe 5 - Ligne directrice pour la gestion de l'énergie et de l'eau</vt:lpstr>
    </vt:vector>
  </TitlesOfParts>
  <Manager/>
  <Company>EPPS Services Ltd</Company>
  <LinksUpToDate>false</LinksUpToDate>
  <CharactersWithSpaces>4738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5 - Ligne directrice pour la gestion de l'énergie et de l'eau</dc:title>
  <dc:subject/>
  <dc:creator>14001Academy</dc:creator>
  <cp:keywords/>
  <dc:description>©2016 Ce modèle peut être utilisé par les clients d’EPPS Services Ltd. www.advisera.com en conformité avec l'accord de licence.</dc:description>
  <cp:lastModifiedBy>14001Academy</cp:lastModifiedBy>
  <cp:revision>13</cp:revision>
  <dcterms:created xsi:type="dcterms:W3CDTF">2016-05-01T09:41:00Z</dcterms:created>
  <dcterms:modified xsi:type="dcterms:W3CDTF">2016-07-13T11:52:00Z</dcterms:modified>
  <cp:category/>
</cp:coreProperties>
</file>