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F73DF" w14:textId="77777777" w:rsidR="00AE035F" w:rsidRPr="00874A0E" w:rsidRDefault="00AE035F"/>
    <w:p w14:paraId="001CF1A1" w14:textId="77777777" w:rsidR="00AE035F" w:rsidRPr="00874A0E" w:rsidRDefault="00AE035F"/>
    <w:p w14:paraId="716E6921" w14:textId="67F088CD" w:rsidR="00AE035F" w:rsidRPr="00874A0E" w:rsidRDefault="006D5524" w:rsidP="006D5524">
      <w:pPr>
        <w:jc w:val="center"/>
      </w:pPr>
      <w:r w:rsidRPr="00B54F9C">
        <w:t>** VERSIÓN DE MUESTRA GRATIS **</w:t>
      </w:r>
      <w:bookmarkStart w:id="0" w:name="_GoBack"/>
      <w:bookmarkEnd w:id="0"/>
    </w:p>
    <w:p w14:paraId="33C4074F" w14:textId="77777777" w:rsidR="00AE035F" w:rsidRPr="00874A0E" w:rsidRDefault="00AE035F"/>
    <w:p w14:paraId="02592E5B" w14:textId="77777777" w:rsidR="00AE035F" w:rsidRPr="00874A0E" w:rsidRDefault="00AE035F"/>
    <w:p w14:paraId="32540591" w14:textId="77777777" w:rsidR="00AE035F" w:rsidRPr="00874A0E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5C666178" w14:textId="77777777" w:rsidR="00AE035F" w:rsidRPr="00874A0E" w:rsidRDefault="00AE035F" w:rsidP="00AE035F">
      <w:pPr>
        <w:jc w:val="center"/>
      </w:pPr>
      <w:r>
        <w:t>[nombre de la organización]</w:t>
      </w:r>
    </w:p>
    <w:p w14:paraId="5EB6289C" w14:textId="77777777" w:rsidR="00AE035F" w:rsidRPr="00874A0E" w:rsidRDefault="00AE035F" w:rsidP="00AE035F">
      <w:pPr>
        <w:jc w:val="center"/>
      </w:pPr>
    </w:p>
    <w:p w14:paraId="0D40D7B8" w14:textId="77777777" w:rsidR="00AE035F" w:rsidRPr="00874A0E" w:rsidRDefault="00AE035F" w:rsidP="00AE035F">
      <w:pPr>
        <w:jc w:val="center"/>
      </w:pPr>
    </w:p>
    <w:p w14:paraId="0BA068AA" w14:textId="4A8F7C36" w:rsidR="00AE035F" w:rsidRPr="00524BDF" w:rsidRDefault="00524BDF" w:rsidP="00AE035F">
      <w:pPr>
        <w:jc w:val="center"/>
        <w:rPr>
          <w:b/>
          <w:sz w:val="44"/>
          <w:szCs w:val="32"/>
        </w:rPr>
      </w:pPr>
      <w:r w:rsidRPr="00524BDF">
        <w:rPr>
          <w:b/>
          <w:sz w:val="32"/>
          <w:lang w:val="es-ES_tradnl"/>
        </w:rPr>
        <w:t>GUÍA PARA LA GESTIÓN DE ACUMULADORES Y PILAS</w:t>
      </w:r>
    </w:p>
    <w:p w14:paraId="23DC0BCA" w14:textId="77777777" w:rsidR="00AE035F" w:rsidRPr="00874A0E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874A0E" w14:paraId="323E32CE" w14:textId="77777777" w:rsidTr="0097243F">
        <w:tc>
          <w:tcPr>
            <w:tcW w:w="2376" w:type="dxa"/>
          </w:tcPr>
          <w:p w14:paraId="4BBD098B" w14:textId="77777777" w:rsidR="00DA78C6" w:rsidRPr="00874A0E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2E23E613" w14:textId="77777777" w:rsidR="00DA78C6" w:rsidRPr="00874A0E" w:rsidRDefault="00DA78C6" w:rsidP="0097243F"/>
        </w:tc>
      </w:tr>
      <w:tr w:rsidR="00DA78C6" w:rsidRPr="00874A0E" w14:paraId="5320A998" w14:textId="77777777" w:rsidTr="0097243F">
        <w:tc>
          <w:tcPr>
            <w:tcW w:w="2376" w:type="dxa"/>
          </w:tcPr>
          <w:p w14:paraId="172FE2C1" w14:textId="77777777" w:rsidR="00DA78C6" w:rsidRPr="00874A0E" w:rsidRDefault="00DA78C6" w:rsidP="0097243F">
            <w:r>
              <w:t>Versión:</w:t>
            </w:r>
          </w:p>
        </w:tc>
        <w:tc>
          <w:tcPr>
            <w:tcW w:w="6912" w:type="dxa"/>
          </w:tcPr>
          <w:p w14:paraId="231AB864" w14:textId="77777777" w:rsidR="00DA78C6" w:rsidRPr="00874A0E" w:rsidRDefault="00175092" w:rsidP="0097243F">
            <w:r>
              <w:t>0.1</w:t>
            </w:r>
          </w:p>
        </w:tc>
      </w:tr>
      <w:tr w:rsidR="00DA78C6" w:rsidRPr="00874A0E" w14:paraId="46241E12" w14:textId="77777777" w:rsidTr="0097243F">
        <w:tc>
          <w:tcPr>
            <w:tcW w:w="2376" w:type="dxa"/>
          </w:tcPr>
          <w:p w14:paraId="2717212F" w14:textId="77777777" w:rsidR="00DA78C6" w:rsidRPr="00874A0E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3D60D04E" w14:textId="77777777" w:rsidR="00DA78C6" w:rsidRPr="00874A0E" w:rsidRDefault="00DA78C6" w:rsidP="0097243F"/>
        </w:tc>
      </w:tr>
      <w:tr w:rsidR="00DA78C6" w:rsidRPr="00874A0E" w14:paraId="43EC3119" w14:textId="77777777" w:rsidTr="0097243F">
        <w:tc>
          <w:tcPr>
            <w:tcW w:w="2376" w:type="dxa"/>
          </w:tcPr>
          <w:p w14:paraId="72A27B4B" w14:textId="77777777" w:rsidR="00DA78C6" w:rsidRPr="00874A0E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E60D585" w14:textId="77777777" w:rsidR="00DA78C6" w:rsidRPr="00874A0E" w:rsidRDefault="00DA78C6" w:rsidP="0097243F"/>
        </w:tc>
      </w:tr>
      <w:tr w:rsidR="00DA78C6" w:rsidRPr="00874A0E" w14:paraId="53827EE0" w14:textId="77777777" w:rsidTr="0097243F">
        <w:tc>
          <w:tcPr>
            <w:tcW w:w="2376" w:type="dxa"/>
          </w:tcPr>
          <w:p w14:paraId="5724677E" w14:textId="77777777" w:rsidR="00DA78C6" w:rsidRPr="00874A0E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2AA33DB1" w14:textId="77777777" w:rsidR="00DA78C6" w:rsidRPr="00874A0E" w:rsidRDefault="00DA78C6" w:rsidP="0097243F"/>
        </w:tc>
      </w:tr>
      <w:tr w:rsidR="00DA78C6" w:rsidRPr="00874A0E" w14:paraId="67B31D86" w14:textId="77777777" w:rsidTr="0097243F">
        <w:tc>
          <w:tcPr>
            <w:tcW w:w="2376" w:type="dxa"/>
          </w:tcPr>
          <w:p w14:paraId="504A2D78" w14:textId="77777777" w:rsidR="00DA78C6" w:rsidRPr="00874A0E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48BF231E" w14:textId="77777777" w:rsidR="00DA78C6" w:rsidRPr="00874A0E" w:rsidRDefault="00DA78C6" w:rsidP="0097243F"/>
        </w:tc>
      </w:tr>
    </w:tbl>
    <w:p w14:paraId="5D807F89" w14:textId="77777777" w:rsidR="00AE035F" w:rsidRPr="00874A0E" w:rsidRDefault="00AE035F" w:rsidP="00AE035F"/>
    <w:p w14:paraId="25A98D27" w14:textId="77777777" w:rsidR="00DA78C6" w:rsidRPr="00874A0E" w:rsidRDefault="00DA78C6" w:rsidP="00965663"/>
    <w:p w14:paraId="7498D799" w14:textId="77777777" w:rsidR="00DA78C6" w:rsidRPr="00874A0E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874A0E" w14:paraId="7E600ACD" w14:textId="77777777" w:rsidTr="0097243F">
        <w:tc>
          <w:tcPr>
            <w:tcW w:w="761" w:type="dxa"/>
            <w:vMerge w:val="restart"/>
            <w:vAlign w:val="center"/>
          </w:tcPr>
          <w:p w14:paraId="2693FEE5" w14:textId="77777777" w:rsidR="00DA78C6" w:rsidRPr="00874A0E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6A669D7" w14:textId="77777777" w:rsidR="00DA78C6" w:rsidRPr="00874A0E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9371DFF" w14:textId="77777777" w:rsidR="00DA78C6" w:rsidRPr="00874A0E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2867EA7" w14:textId="77777777" w:rsidR="00DA78C6" w:rsidRPr="00874A0E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CB59D4B" w14:textId="77777777" w:rsidR="00DA78C6" w:rsidRPr="00874A0E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874A0E" w14:paraId="3E2248DD" w14:textId="77777777" w:rsidTr="0097243F">
        <w:tc>
          <w:tcPr>
            <w:tcW w:w="761" w:type="dxa"/>
            <w:vMerge/>
          </w:tcPr>
          <w:p w14:paraId="458B6264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F4A835A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89DD230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99541A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E04385A" w14:textId="77777777" w:rsidR="00DA78C6" w:rsidRPr="00874A0E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2F28D44" w14:textId="77777777" w:rsidR="00DA78C6" w:rsidRPr="00874A0E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874A0E" w14:paraId="3BFD6621" w14:textId="77777777" w:rsidTr="0097243F">
        <w:tc>
          <w:tcPr>
            <w:tcW w:w="761" w:type="dxa"/>
          </w:tcPr>
          <w:p w14:paraId="445213FC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BD59240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5863B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F61B61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851F32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0A9B88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74A0E" w14:paraId="5AE96EC2" w14:textId="77777777" w:rsidTr="0097243F">
        <w:tc>
          <w:tcPr>
            <w:tcW w:w="761" w:type="dxa"/>
          </w:tcPr>
          <w:p w14:paraId="0343E2E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E643C0A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6602519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7C1C47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55B4B9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002EA7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74A0E" w14:paraId="5DDBC523" w14:textId="77777777" w:rsidTr="0097243F">
        <w:tc>
          <w:tcPr>
            <w:tcW w:w="761" w:type="dxa"/>
          </w:tcPr>
          <w:p w14:paraId="484AE3AA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C0CCCC4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2187D82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9392E8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877AE57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681433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326BD09" w14:textId="77777777" w:rsidR="00DA78C6" w:rsidRPr="00874A0E" w:rsidRDefault="00DA78C6" w:rsidP="00DA78C6">
      <w:pPr>
        <w:rPr>
          <w:b/>
          <w:sz w:val="28"/>
        </w:rPr>
      </w:pPr>
    </w:p>
    <w:p w14:paraId="102EDCA3" w14:textId="77777777" w:rsidR="00AE035F" w:rsidRPr="00874A0E" w:rsidRDefault="00175092" w:rsidP="00965663">
      <w:r>
        <w:br w:type="page"/>
      </w:r>
    </w:p>
    <w:p w14:paraId="70D30EF0" w14:textId="77777777" w:rsidR="00AE035F" w:rsidRPr="00874A0E" w:rsidRDefault="00AE035F" w:rsidP="00AE035F"/>
    <w:p w14:paraId="6BF0F017" w14:textId="77777777" w:rsidR="009C3F7A" w:rsidRPr="00874A0E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874A0E" w14:paraId="3E6EEA71" w14:textId="77777777" w:rsidTr="0097243F">
        <w:tc>
          <w:tcPr>
            <w:tcW w:w="1384" w:type="dxa"/>
          </w:tcPr>
          <w:p w14:paraId="15379992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10B2938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438FF24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9A0F1F4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874A0E" w14:paraId="62EDEC27" w14:textId="77777777" w:rsidTr="0097243F">
        <w:tc>
          <w:tcPr>
            <w:tcW w:w="1384" w:type="dxa"/>
          </w:tcPr>
          <w:p w14:paraId="4024D1DC" w14:textId="77777777" w:rsidR="009C3F7A" w:rsidRPr="00874A0E" w:rsidRDefault="009C3F7A" w:rsidP="0097243F"/>
        </w:tc>
        <w:tc>
          <w:tcPr>
            <w:tcW w:w="992" w:type="dxa"/>
          </w:tcPr>
          <w:p w14:paraId="5F93B279" w14:textId="77777777" w:rsidR="009C3F7A" w:rsidRPr="00874A0E" w:rsidRDefault="00175092" w:rsidP="0097243F">
            <w:r>
              <w:t>0.1</w:t>
            </w:r>
          </w:p>
        </w:tc>
        <w:tc>
          <w:tcPr>
            <w:tcW w:w="1560" w:type="dxa"/>
          </w:tcPr>
          <w:p w14:paraId="4032A5B9" w14:textId="77777777" w:rsidR="009C3F7A" w:rsidRPr="00874A0E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720C74E8" w14:textId="77777777" w:rsidR="009C3F7A" w:rsidRPr="00874A0E" w:rsidRDefault="00175092" w:rsidP="0097243F">
            <w:r>
              <w:t>Descripción básica del documento</w:t>
            </w:r>
          </w:p>
        </w:tc>
      </w:tr>
      <w:tr w:rsidR="009C3F7A" w:rsidRPr="00874A0E" w14:paraId="06320E39" w14:textId="77777777" w:rsidTr="0097243F">
        <w:tc>
          <w:tcPr>
            <w:tcW w:w="1384" w:type="dxa"/>
          </w:tcPr>
          <w:p w14:paraId="5C898861" w14:textId="77777777" w:rsidR="009C3F7A" w:rsidRPr="00874A0E" w:rsidRDefault="009C3F7A" w:rsidP="0097243F"/>
        </w:tc>
        <w:tc>
          <w:tcPr>
            <w:tcW w:w="992" w:type="dxa"/>
          </w:tcPr>
          <w:p w14:paraId="2341E6E1" w14:textId="77777777" w:rsidR="009C3F7A" w:rsidRPr="00874A0E" w:rsidRDefault="009C3F7A" w:rsidP="0097243F"/>
        </w:tc>
        <w:tc>
          <w:tcPr>
            <w:tcW w:w="1560" w:type="dxa"/>
          </w:tcPr>
          <w:p w14:paraId="3242FFF5" w14:textId="77777777" w:rsidR="009C3F7A" w:rsidRPr="00874A0E" w:rsidRDefault="009C3F7A" w:rsidP="0097243F"/>
        </w:tc>
        <w:tc>
          <w:tcPr>
            <w:tcW w:w="5352" w:type="dxa"/>
          </w:tcPr>
          <w:p w14:paraId="4F623903" w14:textId="77777777" w:rsidR="009C3F7A" w:rsidRPr="00874A0E" w:rsidRDefault="009C3F7A" w:rsidP="0097243F"/>
        </w:tc>
      </w:tr>
      <w:tr w:rsidR="009C3F7A" w:rsidRPr="00874A0E" w14:paraId="725962FE" w14:textId="77777777" w:rsidTr="0097243F">
        <w:tc>
          <w:tcPr>
            <w:tcW w:w="1384" w:type="dxa"/>
          </w:tcPr>
          <w:p w14:paraId="495843EC" w14:textId="77777777" w:rsidR="009C3F7A" w:rsidRPr="00874A0E" w:rsidRDefault="009C3F7A" w:rsidP="0097243F"/>
        </w:tc>
        <w:tc>
          <w:tcPr>
            <w:tcW w:w="992" w:type="dxa"/>
          </w:tcPr>
          <w:p w14:paraId="5A329CCF" w14:textId="77777777" w:rsidR="009C3F7A" w:rsidRPr="00874A0E" w:rsidRDefault="009C3F7A" w:rsidP="0097243F"/>
        </w:tc>
        <w:tc>
          <w:tcPr>
            <w:tcW w:w="1560" w:type="dxa"/>
          </w:tcPr>
          <w:p w14:paraId="62B69680" w14:textId="77777777" w:rsidR="009C3F7A" w:rsidRPr="00874A0E" w:rsidRDefault="009C3F7A" w:rsidP="0097243F"/>
        </w:tc>
        <w:tc>
          <w:tcPr>
            <w:tcW w:w="5352" w:type="dxa"/>
          </w:tcPr>
          <w:p w14:paraId="11B89C85" w14:textId="77777777" w:rsidR="009C3F7A" w:rsidRPr="00874A0E" w:rsidRDefault="009C3F7A" w:rsidP="0097243F"/>
        </w:tc>
      </w:tr>
      <w:tr w:rsidR="009C3F7A" w:rsidRPr="00874A0E" w14:paraId="467C54AA" w14:textId="77777777" w:rsidTr="0097243F">
        <w:tc>
          <w:tcPr>
            <w:tcW w:w="1384" w:type="dxa"/>
          </w:tcPr>
          <w:p w14:paraId="6A37B1D1" w14:textId="77777777" w:rsidR="009C3F7A" w:rsidRPr="00874A0E" w:rsidRDefault="009C3F7A" w:rsidP="0097243F"/>
        </w:tc>
        <w:tc>
          <w:tcPr>
            <w:tcW w:w="992" w:type="dxa"/>
          </w:tcPr>
          <w:p w14:paraId="75AD8F64" w14:textId="77777777" w:rsidR="009C3F7A" w:rsidRPr="00874A0E" w:rsidRDefault="009C3F7A" w:rsidP="0097243F"/>
        </w:tc>
        <w:tc>
          <w:tcPr>
            <w:tcW w:w="1560" w:type="dxa"/>
          </w:tcPr>
          <w:p w14:paraId="1E62E1D2" w14:textId="77777777" w:rsidR="009C3F7A" w:rsidRPr="00874A0E" w:rsidRDefault="009C3F7A" w:rsidP="0097243F"/>
        </w:tc>
        <w:tc>
          <w:tcPr>
            <w:tcW w:w="5352" w:type="dxa"/>
          </w:tcPr>
          <w:p w14:paraId="527DFDBE" w14:textId="77777777" w:rsidR="009C3F7A" w:rsidRPr="00874A0E" w:rsidRDefault="009C3F7A" w:rsidP="0097243F"/>
        </w:tc>
      </w:tr>
      <w:tr w:rsidR="009C3F7A" w:rsidRPr="00874A0E" w14:paraId="43C70E81" w14:textId="77777777" w:rsidTr="0097243F">
        <w:tc>
          <w:tcPr>
            <w:tcW w:w="1384" w:type="dxa"/>
          </w:tcPr>
          <w:p w14:paraId="2AC8D427" w14:textId="77777777" w:rsidR="009C3F7A" w:rsidRPr="00874A0E" w:rsidRDefault="009C3F7A" w:rsidP="0097243F"/>
        </w:tc>
        <w:tc>
          <w:tcPr>
            <w:tcW w:w="992" w:type="dxa"/>
          </w:tcPr>
          <w:p w14:paraId="757FA033" w14:textId="77777777" w:rsidR="009C3F7A" w:rsidRPr="00874A0E" w:rsidRDefault="009C3F7A" w:rsidP="0097243F"/>
        </w:tc>
        <w:tc>
          <w:tcPr>
            <w:tcW w:w="1560" w:type="dxa"/>
          </w:tcPr>
          <w:p w14:paraId="3C31C208" w14:textId="77777777" w:rsidR="009C3F7A" w:rsidRPr="00874A0E" w:rsidRDefault="009C3F7A" w:rsidP="0097243F"/>
        </w:tc>
        <w:tc>
          <w:tcPr>
            <w:tcW w:w="5352" w:type="dxa"/>
          </w:tcPr>
          <w:p w14:paraId="5BED9056" w14:textId="77777777" w:rsidR="009C3F7A" w:rsidRPr="00874A0E" w:rsidRDefault="009C3F7A" w:rsidP="0097243F"/>
        </w:tc>
      </w:tr>
      <w:tr w:rsidR="009C3F7A" w:rsidRPr="00874A0E" w14:paraId="631B74AB" w14:textId="77777777" w:rsidTr="0097243F">
        <w:tc>
          <w:tcPr>
            <w:tcW w:w="1384" w:type="dxa"/>
          </w:tcPr>
          <w:p w14:paraId="46844DD8" w14:textId="77777777" w:rsidR="009C3F7A" w:rsidRPr="00874A0E" w:rsidRDefault="009C3F7A" w:rsidP="0097243F"/>
        </w:tc>
        <w:tc>
          <w:tcPr>
            <w:tcW w:w="992" w:type="dxa"/>
          </w:tcPr>
          <w:p w14:paraId="5CAB2F49" w14:textId="77777777" w:rsidR="009C3F7A" w:rsidRPr="00874A0E" w:rsidRDefault="009C3F7A" w:rsidP="0097243F"/>
        </w:tc>
        <w:tc>
          <w:tcPr>
            <w:tcW w:w="1560" w:type="dxa"/>
          </w:tcPr>
          <w:p w14:paraId="2E41D8DD" w14:textId="77777777" w:rsidR="009C3F7A" w:rsidRPr="00874A0E" w:rsidRDefault="009C3F7A" w:rsidP="0097243F"/>
        </w:tc>
        <w:tc>
          <w:tcPr>
            <w:tcW w:w="5352" w:type="dxa"/>
          </w:tcPr>
          <w:p w14:paraId="2F296BDB" w14:textId="77777777" w:rsidR="009C3F7A" w:rsidRPr="00874A0E" w:rsidRDefault="009C3F7A" w:rsidP="0097243F"/>
        </w:tc>
      </w:tr>
      <w:tr w:rsidR="009C3F7A" w:rsidRPr="00874A0E" w14:paraId="4AFA3291" w14:textId="77777777" w:rsidTr="0097243F">
        <w:tc>
          <w:tcPr>
            <w:tcW w:w="1384" w:type="dxa"/>
          </w:tcPr>
          <w:p w14:paraId="2F57A23B" w14:textId="77777777" w:rsidR="009C3F7A" w:rsidRPr="00874A0E" w:rsidRDefault="009C3F7A" w:rsidP="0097243F"/>
        </w:tc>
        <w:tc>
          <w:tcPr>
            <w:tcW w:w="992" w:type="dxa"/>
          </w:tcPr>
          <w:p w14:paraId="4FF790AB" w14:textId="77777777" w:rsidR="009C3F7A" w:rsidRPr="00874A0E" w:rsidRDefault="009C3F7A" w:rsidP="0097243F"/>
        </w:tc>
        <w:tc>
          <w:tcPr>
            <w:tcW w:w="1560" w:type="dxa"/>
          </w:tcPr>
          <w:p w14:paraId="6775C4CA" w14:textId="77777777" w:rsidR="009C3F7A" w:rsidRPr="00874A0E" w:rsidRDefault="009C3F7A" w:rsidP="0097243F"/>
        </w:tc>
        <w:tc>
          <w:tcPr>
            <w:tcW w:w="5352" w:type="dxa"/>
          </w:tcPr>
          <w:p w14:paraId="2C0B5CF7" w14:textId="77777777" w:rsidR="009C3F7A" w:rsidRPr="00874A0E" w:rsidRDefault="009C3F7A" w:rsidP="0097243F"/>
        </w:tc>
      </w:tr>
    </w:tbl>
    <w:p w14:paraId="7B72BF69" w14:textId="77777777" w:rsidR="009C3F7A" w:rsidRPr="00874A0E" w:rsidRDefault="009C3F7A" w:rsidP="00AE035F"/>
    <w:p w14:paraId="7C261E12" w14:textId="77777777" w:rsidR="009C3F7A" w:rsidRPr="00874A0E" w:rsidRDefault="009C3F7A" w:rsidP="00AE035F"/>
    <w:p w14:paraId="5D5C8D5A" w14:textId="63AE8E10" w:rsidR="00AE035F" w:rsidRPr="00874A0E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6919C8">
        <w:rPr>
          <w:b/>
          <w:sz w:val="28"/>
        </w:rPr>
        <w:t>s</w:t>
      </w:r>
    </w:p>
    <w:p w14:paraId="48C458BE" w14:textId="77777777" w:rsidR="00524BDF" w:rsidRDefault="00D414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874A0E">
        <w:fldChar w:fldCharType="begin"/>
      </w:r>
      <w:r w:rsidR="00175092" w:rsidRPr="00874A0E">
        <w:instrText xml:space="preserve"> TOC \o "1-3" \h \z \u </w:instrText>
      </w:r>
      <w:r w:rsidRPr="00874A0E">
        <w:fldChar w:fldCharType="separate"/>
      </w:r>
      <w:hyperlink w:anchor="_Toc428524413" w:history="1">
        <w:r w:rsidR="00524BDF" w:rsidRPr="003743A7">
          <w:rPr>
            <w:rStyle w:val="Hyperlink"/>
            <w:noProof/>
          </w:rPr>
          <w:t>1.</w:t>
        </w:r>
        <w:r w:rsidR="00524B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24BDF" w:rsidRPr="003743A7">
          <w:rPr>
            <w:rStyle w:val="Hyperlink"/>
            <w:noProof/>
          </w:rPr>
          <w:t>Objetivos, alcance y usuarios</w:t>
        </w:r>
        <w:r w:rsidR="00524BDF">
          <w:rPr>
            <w:noProof/>
            <w:webHidden/>
          </w:rPr>
          <w:tab/>
        </w:r>
        <w:r w:rsidR="00524BDF">
          <w:rPr>
            <w:noProof/>
            <w:webHidden/>
          </w:rPr>
          <w:fldChar w:fldCharType="begin"/>
        </w:r>
        <w:r w:rsidR="00524BDF">
          <w:rPr>
            <w:noProof/>
            <w:webHidden/>
          </w:rPr>
          <w:instrText xml:space="preserve"> PAGEREF _Toc428524413 \h </w:instrText>
        </w:r>
        <w:r w:rsidR="00524BDF">
          <w:rPr>
            <w:noProof/>
            <w:webHidden/>
          </w:rPr>
        </w:r>
        <w:r w:rsidR="00524BDF">
          <w:rPr>
            <w:noProof/>
            <w:webHidden/>
          </w:rPr>
          <w:fldChar w:fldCharType="separate"/>
        </w:r>
        <w:r w:rsidR="00524BDF">
          <w:rPr>
            <w:noProof/>
            <w:webHidden/>
          </w:rPr>
          <w:t>3</w:t>
        </w:r>
        <w:r w:rsidR="00524BDF">
          <w:rPr>
            <w:noProof/>
            <w:webHidden/>
          </w:rPr>
          <w:fldChar w:fldCharType="end"/>
        </w:r>
      </w:hyperlink>
    </w:p>
    <w:p w14:paraId="2F8D4FA9" w14:textId="77777777" w:rsidR="00524BDF" w:rsidRDefault="007D34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414" w:history="1">
        <w:r w:rsidR="00524BDF" w:rsidRPr="003743A7">
          <w:rPr>
            <w:rStyle w:val="Hyperlink"/>
            <w:noProof/>
          </w:rPr>
          <w:t>2.</w:t>
        </w:r>
        <w:r w:rsidR="00524B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24BDF" w:rsidRPr="003743A7">
          <w:rPr>
            <w:rStyle w:val="Hyperlink"/>
            <w:noProof/>
          </w:rPr>
          <w:t>Documentos de referencia</w:t>
        </w:r>
        <w:r w:rsidR="00524BDF">
          <w:rPr>
            <w:noProof/>
            <w:webHidden/>
          </w:rPr>
          <w:tab/>
        </w:r>
        <w:r w:rsidR="00524BDF">
          <w:rPr>
            <w:noProof/>
            <w:webHidden/>
          </w:rPr>
          <w:fldChar w:fldCharType="begin"/>
        </w:r>
        <w:r w:rsidR="00524BDF">
          <w:rPr>
            <w:noProof/>
            <w:webHidden/>
          </w:rPr>
          <w:instrText xml:space="preserve"> PAGEREF _Toc428524414 \h </w:instrText>
        </w:r>
        <w:r w:rsidR="00524BDF">
          <w:rPr>
            <w:noProof/>
            <w:webHidden/>
          </w:rPr>
        </w:r>
        <w:r w:rsidR="00524BDF">
          <w:rPr>
            <w:noProof/>
            <w:webHidden/>
          </w:rPr>
          <w:fldChar w:fldCharType="separate"/>
        </w:r>
        <w:r w:rsidR="00524BDF">
          <w:rPr>
            <w:noProof/>
            <w:webHidden/>
          </w:rPr>
          <w:t>3</w:t>
        </w:r>
        <w:r w:rsidR="00524BDF">
          <w:rPr>
            <w:noProof/>
            <w:webHidden/>
          </w:rPr>
          <w:fldChar w:fldCharType="end"/>
        </w:r>
      </w:hyperlink>
    </w:p>
    <w:p w14:paraId="5B35C9AE" w14:textId="77777777" w:rsidR="00524BDF" w:rsidRDefault="007D34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415" w:history="1">
        <w:r w:rsidR="00524BDF" w:rsidRPr="003743A7">
          <w:rPr>
            <w:rStyle w:val="Hyperlink"/>
            <w:noProof/>
          </w:rPr>
          <w:t>3.</w:t>
        </w:r>
        <w:r w:rsidR="00524B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24BDF" w:rsidRPr="003743A7">
          <w:rPr>
            <w:rStyle w:val="Hyperlink"/>
            <w:noProof/>
          </w:rPr>
          <w:t>Tratamiento de baterías y acumuladores usados</w:t>
        </w:r>
        <w:r w:rsidR="00524BDF">
          <w:rPr>
            <w:noProof/>
            <w:webHidden/>
          </w:rPr>
          <w:tab/>
        </w:r>
        <w:r w:rsidR="00524BDF">
          <w:rPr>
            <w:noProof/>
            <w:webHidden/>
          </w:rPr>
          <w:fldChar w:fldCharType="begin"/>
        </w:r>
        <w:r w:rsidR="00524BDF">
          <w:rPr>
            <w:noProof/>
            <w:webHidden/>
          </w:rPr>
          <w:instrText xml:space="preserve"> PAGEREF _Toc428524415 \h </w:instrText>
        </w:r>
        <w:r w:rsidR="00524BDF">
          <w:rPr>
            <w:noProof/>
            <w:webHidden/>
          </w:rPr>
        </w:r>
        <w:r w:rsidR="00524BDF">
          <w:rPr>
            <w:noProof/>
            <w:webHidden/>
          </w:rPr>
          <w:fldChar w:fldCharType="separate"/>
        </w:r>
        <w:r w:rsidR="00524BDF">
          <w:rPr>
            <w:noProof/>
            <w:webHidden/>
          </w:rPr>
          <w:t>3</w:t>
        </w:r>
        <w:r w:rsidR="00524BDF">
          <w:rPr>
            <w:noProof/>
            <w:webHidden/>
          </w:rPr>
          <w:fldChar w:fldCharType="end"/>
        </w:r>
      </w:hyperlink>
    </w:p>
    <w:p w14:paraId="3986F666" w14:textId="77777777" w:rsidR="00524BDF" w:rsidRDefault="007D34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416" w:history="1">
        <w:r w:rsidR="00524BDF" w:rsidRPr="003743A7">
          <w:rPr>
            <w:rStyle w:val="Hyperlink"/>
            <w:noProof/>
          </w:rPr>
          <w:t>3.1.</w:t>
        </w:r>
        <w:r w:rsidR="00524BD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24BDF" w:rsidRPr="003743A7">
          <w:rPr>
            <w:rStyle w:val="Hyperlink"/>
            <w:noProof/>
          </w:rPr>
          <w:t>Clasificación de residuos de baterías y acumuladores en el lugar de generación</w:t>
        </w:r>
        <w:r w:rsidR="00524BDF">
          <w:rPr>
            <w:noProof/>
            <w:webHidden/>
          </w:rPr>
          <w:tab/>
        </w:r>
        <w:r w:rsidR="00524BDF">
          <w:rPr>
            <w:noProof/>
            <w:webHidden/>
          </w:rPr>
          <w:fldChar w:fldCharType="begin"/>
        </w:r>
        <w:r w:rsidR="00524BDF">
          <w:rPr>
            <w:noProof/>
            <w:webHidden/>
          </w:rPr>
          <w:instrText xml:space="preserve"> PAGEREF _Toc428524416 \h </w:instrText>
        </w:r>
        <w:r w:rsidR="00524BDF">
          <w:rPr>
            <w:noProof/>
            <w:webHidden/>
          </w:rPr>
        </w:r>
        <w:r w:rsidR="00524BDF">
          <w:rPr>
            <w:noProof/>
            <w:webHidden/>
          </w:rPr>
          <w:fldChar w:fldCharType="separate"/>
        </w:r>
        <w:r w:rsidR="00524BDF">
          <w:rPr>
            <w:noProof/>
            <w:webHidden/>
          </w:rPr>
          <w:t>3</w:t>
        </w:r>
        <w:r w:rsidR="00524BDF">
          <w:rPr>
            <w:noProof/>
            <w:webHidden/>
          </w:rPr>
          <w:fldChar w:fldCharType="end"/>
        </w:r>
      </w:hyperlink>
    </w:p>
    <w:p w14:paraId="09A766E6" w14:textId="77777777" w:rsidR="00524BDF" w:rsidRDefault="007D34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417" w:history="1">
        <w:r w:rsidR="00524BDF" w:rsidRPr="003743A7">
          <w:rPr>
            <w:rStyle w:val="Hyperlink"/>
            <w:noProof/>
          </w:rPr>
          <w:t>3.2.</w:t>
        </w:r>
        <w:r w:rsidR="00524BD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24BDF" w:rsidRPr="003743A7">
          <w:rPr>
            <w:rStyle w:val="Hyperlink"/>
            <w:noProof/>
          </w:rPr>
          <w:t>Almacenamiento temporal de baterías y acumuladores usados</w:t>
        </w:r>
        <w:r w:rsidR="00524BDF">
          <w:rPr>
            <w:noProof/>
            <w:webHidden/>
          </w:rPr>
          <w:tab/>
        </w:r>
        <w:r w:rsidR="00524BDF">
          <w:rPr>
            <w:noProof/>
            <w:webHidden/>
          </w:rPr>
          <w:fldChar w:fldCharType="begin"/>
        </w:r>
        <w:r w:rsidR="00524BDF">
          <w:rPr>
            <w:noProof/>
            <w:webHidden/>
          </w:rPr>
          <w:instrText xml:space="preserve"> PAGEREF _Toc428524417 \h </w:instrText>
        </w:r>
        <w:r w:rsidR="00524BDF">
          <w:rPr>
            <w:noProof/>
            <w:webHidden/>
          </w:rPr>
        </w:r>
        <w:r w:rsidR="00524BDF">
          <w:rPr>
            <w:noProof/>
            <w:webHidden/>
          </w:rPr>
          <w:fldChar w:fldCharType="separate"/>
        </w:r>
        <w:r w:rsidR="00524BDF">
          <w:rPr>
            <w:noProof/>
            <w:webHidden/>
          </w:rPr>
          <w:t>3</w:t>
        </w:r>
        <w:r w:rsidR="00524BDF">
          <w:rPr>
            <w:noProof/>
            <w:webHidden/>
          </w:rPr>
          <w:fldChar w:fldCharType="end"/>
        </w:r>
      </w:hyperlink>
    </w:p>
    <w:p w14:paraId="76232FBD" w14:textId="77777777" w:rsidR="00524BDF" w:rsidRDefault="007D34F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418" w:history="1">
        <w:r w:rsidR="00524BDF" w:rsidRPr="003743A7">
          <w:rPr>
            <w:rStyle w:val="Hyperlink"/>
            <w:noProof/>
          </w:rPr>
          <w:t>3.3.</w:t>
        </w:r>
        <w:r w:rsidR="00524BD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24BDF" w:rsidRPr="003743A7">
          <w:rPr>
            <w:rStyle w:val="Hyperlink"/>
            <w:noProof/>
          </w:rPr>
          <w:t>Descarte de baterías y acumuladores usados</w:t>
        </w:r>
        <w:r w:rsidR="00524BDF">
          <w:rPr>
            <w:noProof/>
            <w:webHidden/>
          </w:rPr>
          <w:tab/>
        </w:r>
        <w:r w:rsidR="00524BDF">
          <w:rPr>
            <w:noProof/>
            <w:webHidden/>
          </w:rPr>
          <w:fldChar w:fldCharType="begin"/>
        </w:r>
        <w:r w:rsidR="00524BDF">
          <w:rPr>
            <w:noProof/>
            <w:webHidden/>
          </w:rPr>
          <w:instrText xml:space="preserve"> PAGEREF _Toc428524418 \h </w:instrText>
        </w:r>
        <w:r w:rsidR="00524BDF">
          <w:rPr>
            <w:noProof/>
            <w:webHidden/>
          </w:rPr>
        </w:r>
        <w:r w:rsidR="00524BDF">
          <w:rPr>
            <w:noProof/>
            <w:webHidden/>
          </w:rPr>
          <w:fldChar w:fldCharType="separate"/>
        </w:r>
        <w:r w:rsidR="00524BDF">
          <w:rPr>
            <w:noProof/>
            <w:webHidden/>
          </w:rPr>
          <w:t>4</w:t>
        </w:r>
        <w:r w:rsidR="00524BDF">
          <w:rPr>
            <w:noProof/>
            <w:webHidden/>
          </w:rPr>
          <w:fldChar w:fldCharType="end"/>
        </w:r>
      </w:hyperlink>
    </w:p>
    <w:p w14:paraId="3EEB499D" w14:textId="77777777" w:rsidR="00524BDF" w:rsidRDefault="007D34F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419" w:history="1">
        <w:r w:rsidR="00524BDF" w:rsidRPr="003743A7">
          <w:rPr>
            <w:rStyle w:val="Hyperlink"/>
            <w:noProof/>
          </w:rPr>
          <w:t>4.</w:t>
        </w:r>
        <w:r w:rsidR="00524BD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24BDF" w:rsidRPr="003743A7">
          <w:rPr>
            <w:rStyle w:val="Hyperlink"/>
            <w:noProof/>
          </w:rPr>
          <w:t>Gestión de registros guardados en base a este documento</w:t>
        </w:r>
        <w:r w:rsidR="00524BDF">
          <w:rPr>
            <w:noProof/>
            <w:webHidden/>
          </w:rPr>
          <w:tab/>
        </w:r>
        <w:r w:rsidR="00524BDF">
          <w:rPr>
            <w:noProof/>
            <w:webHidden/>
          </w:rPr>
          <w:fldChar w:fldCharType="begin"/>
        </w:r>
        <w:r w:rsidR="00524BDF">
          <w:rPr>
            <w:noProof/>
            <w:webHidden/>
          </w:rPr>
          <w:instrText xml:space="preserve"> PAGEREF _Toc428524419 \h </w:instrText>
        </w:r>
        <w:r w:rsidR="00524BDF">
          <w:rPr>
            <w:noProof/>
            <w:webHidden/>
          </w:rPr>
        </w:r>
        <w:r w:rsidR="00524BDF">
          <w:rPr>
            <w:noProof/>
            <w:webHidden/>
          </w:rPr>
          <w:fldChar w:fldCharType="separate"/>
        </w:r>
        <w:r w:rsidR="00524BDF">
          <w:rPr>
            <w:noProof/>
            <w:webHidden/>
          </w:rPr>
          <w:t>4</w:t>
        </w:r>
        <w:r w:rsidR="00524BDF">
          <w:rPr>
            <w:noProof/>
            <w:webHidden/>
          </w:rPr>
          <w:fldChar w:fldCharType="end"/>
        </w:r>
      </w:hyperlink>
    </w:p>
    <w:p w14:paraId="7CDD46ED" w14:textId="77777777" w:rsidR="00875876" w:rsidRDefault="00D414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74A0E">
        <w:fldChar w:fldCharType="end"/>
      </w:r>
    </w:p>
    <w:p w14:paraId="4FF6E975" w14:textId="77777777" w:rsidR="00AE035F" w:rsidRPr="00874A0E" w:rsidRDefault="00AE035F" w:rsidP="00AE035F"/>
    <w:p w14:paraId="4E6714FB" w14:textId="77777777" w:rsidR="00AE035F" w:rsidRPr="00874A0E" w:rsidRDefault="00AE035F" w:rsidP="00AE035F"/>
    <w:p w14:paraId="639CB51A" w14:textId="77777777" w:rsidR="00AE035F" w:rsidRPr="00874A0E" w:rsidRDefault="00AE035F" w:rsidP="00AE035F"/>
    <w:p w14:paraId="0DDC9112" w14:textId="77777777" w:rsidR="00AE035F" w:rsidRPr="00874A0E" w:rsidRDefault="00175092" w:rsidP="00AE035F">
      <w:pPr>
        <w:pStyle w:val="Heading1"/>
      </w:pPr>
      <w:r>
        <w:br w:type="page"/>
      </w:r>
      <w:bookmarkStart w:id="5" w:name="_Toc263078249"/>
      <w:bookmarkStart w:id="6" w:name="_Toc404036153"/>
      <w:bookmarkStart w:id="7" w:name="_Toc428524413"/>
      <w:r>
        <w:lastRenderedPageBreak/>
        <w:t>Objetivos, alcance y usuarios</w:t>
      </w:r>
      <w:bookmarkEnd w:id="5"/>
      <w:bookmarkEnd w:id="6"/>
      <w:bookmarkEnd w:id="7"/>
    </w:p>
    <w:p w14:paraId="61B62538" w14:textId="77777777" w:rsidR="006C3497" w:rsidRPr="00874A0E" w:rsidRDefault="00874A0E" w:rsidP="00DF09C9">
      <w:r>
        <w:t>El objetivo de este documento es definir el proceso de clasificación de baterías y acumuladores usados en el lugar de generación, su guarda temporal y descarte.</w:t>
      </w:r>
    </w:p>
    <w:p w14:paraId="23BED2B3" w14:textId="77777777" w:rsidR="00DF09C9" w:rsidRPr="00874A0E" w:rsidRDefault="00874A0E" w:rsidP="00DF09C9">
      <w:r>
        <w:t xml:space="preserve">Este documento se aplica a todas las actividades y proceso de [nombre de la organización] que generan residuos de baterías y acumuladores usados.  </w:t>
      </w:r>
    </w:p>
    <w:p w14:paraId="6AA5F271" w14:textId="77777777" w:rsidR="00AE035F" w:rsidRPr="00874A0E" w:rsidRDefault="00175092" w:rsidP="00AE035F">
      <w:r>
        <w:t xml:space="preserve">Los usuarios de este documento son todos los empleados de [nombre de la organización]. </w:t>
      </w:r>
    </w:p>
    <w:p w14:paraId="7B52DBF2" w14:textId="77777777" w:rsidR="00AE035F" w:rsidRPr="00874A0E" w:rsidRDefault="00AE035F" w:rsidP="00AE035F"/>
    <w:p w14:paraId="34CCDFA1" w14:textId="77777777" w:rsidR="00AE035F" w:rsidRPr="00874A0E" w:rsidRDefault="00175092" w:rsidP="00AE035F">
      <w:pPr>
        <w:pStyle w:val="Heading1"/>
      </w:pPr>
      <w:bookmarkStart w:id="8" w:name="_Toc263078250"/>
      <w:bookmarkStart w:id="9" w:name="_Toc404036154"/>
      <w:bookmarkStart w:id="10" w:name="_Toc428524414"/>
      <w:r>
        <w:t>Documentos de referencia</w:t>
      </w:r>
      <w:bookmarkEnd w:id="8"/>
      <w:bookmarkEnd w:id="9"/>
      <w:bookmarkEnd w:id="10"/>
    </w:p>
    <w:p w14:paraId="32AC0220" w14:textId="75554280" w:rsidR="00AE035F" w:rsidRPr="00874A0E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8B3CDC">
        <w:t>:2015</w:t>
      </w:r>
      <w:r>
        <w:t xml:space="preserve">, punto </w:t>
      </w:r>
      <w:r w:rsidR="008B3CDC">
        <w:t>8.1</w:t>
      </w:r>
    </w:p>
    <w:p w14:paraId="0BDA48EA" w14:textId="77777777" w:rsidR="00356477" w:rsidRPr="00874A0E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502BF0D4" w14:textId="77777777" w:rsidR="00ED61FD" w:rsidRPr="00874A0E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0C2DB38" w14:textId="77777777" w:rsidR="00ED61FD" w:rsidRPr="00874A0E" w:rsidRDefault="00ED61FD" w:rsidP="00AE035F">
      <w:pPr>
        <w:numPr>
          <w:ilvl w:val="0"/>
          <w:numId w:val="4"/>
        </w:numPr>
        <w:spacing w:after="0"/>
      </w:pPr>
      <w:r>
        <w:t>Objetivos y metas ambientales</w:t>
      </w:r>
    </w:p>
    <w:p w14:paraId="0E60C3E5" w14:textId="62E50F13" w:rsidR="00ED61FD" w:rsidRPr="00874A0E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8B3CDC">
        <w:t>ambientales</w:t>
      </w:r>
    </w:p>
    <w:p w14:paraId="3147E5C9" w14:textId="51B28470" w:rsidR="005736F4" w:rsidRPr="00A11102" w:rsidRDefault="005736F4" w:rsidP="00AE035F">
      <w:pPr>
        <w:numPr>
          <w:ilvl w:val="0"/>
          <w:numId w:val="4"/>
        </w:numPr>
        <w:spacing w:after="0"/>
      </w:pPr>
      <w:r>
        <w:t>Procedimiento para control operativo</w:t>
      </w:r>
      <w:r w:rsidR="008B3CDC">
        <w:t xml:space="preserve"> de aspectos ambientales significativos</w:t>
      </w:r>
    </w:p>
    <w:p w14:paraId="2E470F56" w14:textId="488F95ED" w:rsidR="005736F4" w:rsidRPr="00A11102" w:rsidRDefault="005736F4" w:rsidP="00AE035F">
      <w:pPr>
        <w:numPr>
          <w:ilvl w:val="0"/>
          <w:numId w:val="4"/>
        </w:numPr>
        <w:spacing w:after="0"/>
      </w:pPr>
      <w:r>
        <w:t xml:space="preserve">Lista de </w:t>
      </w:r>
      <w:r w:rsidR="008B3CDC">
        <w:t xml:space="preserve">partes interesadas, </w:t>
      </w:r>
      <w:r>
        <w:t>requisitos legales y de otra índole</w:t>
      </w:r>
    </w:p>
    <w:p w14:paraId="77241C5F" w14:textId="77777777" w:rsidR="00ED61FD" w:rsidRPr="00874A0E" w:rsidRDefault="00ED61FD" w:rsidP="00ED61FD">
      <w:pPr>
        <w:pStyle w:val="ListParagraph"/>
      </w:pPr>
    </w:p>
    <w:p w14:paraId="3F616950" w14:textId="77777777" w:rsidR="00AE035F" w:rsidRPr="00874A0E" w:rsidRDefault="00874A0E" w:rsidP="00AE035F">
      <w:pPr>
        <w:pStyle w:val="Heading1"/>
      </w:pPr>
      <w:bookmarkStart w:id="11" w:name="_Toc404036155"/>
      <w:bookmarkStart w:id="12" w:name="_Toc428524415"/>
      <w:r>
        <w:t>Tratamiento de baterías y acumuladores usados</w:t>
      </w:r>
      <w:bookmarkEnd w:id="11"/>
      <w:bookmarkEnd w:id="12"/>
      <w:r>
        <w:t xml:space="preserve"> </w:t>
      </w:r>
    </w:p>
    <w:p w14:paraId="17120532" w14:textId="77777777" w:rsidR="005736F4" w:rsidRPr="004F63B4" w:rsidRDefault="00874A0E" w:rsidP="00875876">
      <w:r>
        <w:t>Las baterías y los acumuladores son fuentes de energía eléctrica producida por conversión directa de energía química, que están compuestos por una o más celdas primarias de batería o una o más celdas secundarias de batería.</w:t>
      </w:r>
    </w:p>
    <w:p w14:paraId="295E0E8E" w14:textId="77777777" w:rsidR="00B61269" w:rsidRPr="00874A0E" w:rsidRDefault="005736F4" w:rsidP="005736F4">
      <w:pPr>
        <w:pStyle w:val="Heading2"/>
      </w:pPr>
      <w:r>
        <w:rPr>
          <w:sz w:val="22"/>
        </w:rPr>
        <w:t xml:space="preserve"> </w:t>
      </w:r>
      <w:bookmarkStart w:id="13" w:name="_Toc404036156"/>
      <w:bookmarkStart w:id="14" w:name="_Toc428524416"/>
      <w:r>
        <w:t>Clasificación de residuos de baterías y acumuladores en el lugar de generación</w:t>
      </w:r>
      <w:bookmarkEnd w:id="13"/>
      <w:bookmarkEnd w:id="14"/>
      <w:r>
        <w:t xml:space="preserve"> </w:t>
      </w:r>
    </w:p>
    <w:p w14:paraId="18612AB1" w14:textId="77777777" w:rsidR="00316123" w:rsidRPr="00874A0E" w:rsidRDefault="00D06B72" w:rsidP="00875876">
      <w:pPr>
        <w:rPr>
          <w:b/>
        </w:rPr>
      </w:pPr>
      <w:r>
        <w:t xml:space="preserve">Las baterías, pilas tipo botón y los acumuladores son identificados y clasificados por el [cargo] de acuerdo con el contenido de sustancias peligrosas (mercurio, cadmio y plomo). </w:t>
      </w:r>
    </w:p>
    <w:p w14:paraId="62AF7841" w14:textId="77777777" w:rsidR="00AC1FD8" w:rsidRDefault="00D06B72" w:rsidP="005736F4">
      <w:pPr>
        <w:pStyle w:val="Heading2"/>
      </w:pPr>
      <w:bookmarkStart w:id="15" w:name="_Toc404036157"/>
      <w:bookmarkStart w:id="16" w:name="_Toc428524417"/>
      <w:r>
        <w:t>Almacenamiento temporal de baterías y acumuladores usados</w:t>
      </w:r>
      <w:bookmarkEnd w:id="15"/>
      <w:bookmarkEnd w:id="16"/>
      <w:r>
        <w:t xml:space="preserve"> </w:t>
      </w:r>
    </w:p>
    <w:p w14:paraId="612A8FB5" w14:textId="77777777" w:rsidR="006D5524" w:rsidRDefault="006D5524" w:rsidP="006D5524"/>
    <w:p w14:paraId="0032457D" w14:textId="77777777" w:rsidR="006D5524" w:rsidRDefault="006D5524" w:rsidP="006D5524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23A08548" w14:textId="77777777" w:rsidR="006D5524" w:rsidRDefault="006D5524" w:rsidP="006D5524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http://advisera.com/14001academy/documentation/guideline-for-used-batteries-and-accumulators-management/</w:t>
        </w:r>
      </w:hyperlink>
    </w:p>
    <w:p w14:paraId="38D80638" w14:textId="77777777" w:rsidR="006D5524" w:rsidRPr="006D5524" w:rsidRDefault="006D5524" w:rsidP="006D5524"/>
    <w:sectPr w:rsidR="006D5524" w:rsidRPr="006D552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68AE30BE" w14:textId="77777777" w:rsidR="00010F36" w:rsidRPr="00A2558B" w:rsidRDefault="00010F36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9T12:58:00Z" w:initials="14A">
    <w:p w14:paraId="7D90CDF3" w14:textId="77777777" w:rsidR="00010F36" w:rsidRPr="00A2558B" w:rsidRDefault="00010F36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09T12:58:00Z" w:initials="14A">
    <w:p w14:paraId="3739D6D1" w14:textId="77777777" w:rsidR="00010F36" w:rsidRPr="00A2558B" w:rsidRDefault="00010F36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AE30BE" w15:done="0"/>
  <w15:commentEx w15:paraId="7D90CDF3" w15:done="0"/>
  <w15:commentEx w15:paraId="3739D6D1" w15:done="0"/>
  <w15:commentEx w15:paraId="40F2ED5D" w15:done="0"/>
  <w15:commentEx w15:paraId="4288CFAB" w15:done="0"/>
  <w15:commentEx w15:paraId="1593A685" w15:done="0"/>
  <w15:commentEx w15:paraId="5C67F629" w15:done="0"/>
  <w15:commentEx w15:paraId="1B5B65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2D8EE" w14:textId="77777777" w:rsidR="007D34FF" w:rsidRDefault="007D34FF" w:rsidP="00AE035F">
      <w:pPr>
        <w:spacing w:after="0" w:line="240" w:lineRule="auto"/>
      </w:pPr>
      <w:r>
        <w:separator/>
      </w:r>
    </w:p>
  </w:endnote>
  <w:endnote w:type="continuationSeparator" w:id="0">
    <w:p w14:paraId="6C97F815" w14:textId="77777777" w:rsidR="007D34FF" w:rsidRDefault="007D34F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0A456894" w14:textId="77777777" w:rsidTr="007C3F3D">
      <w:tc>
        <w:tcPr>
          <w:tcW w:w="3369" w:type="dxa"/>
        </w:tcPr>
        <w:p w14:paraId="5530228E" w14:textId="65945610" w:rsidR="00010F36" w:rsidRPr="00AE5C4B" w:rsidRDefault="00524BDF" w:rsidP="00F02560">
          <w:pPr>
            <w:pStyle w:val="Footer"/>
            <w:rPr>
              <w:sz w:val="18"/>
              <w:szCs w:val="18"/>
            </w:rPr>
          </w:pPr>
          <w:r w:rsidRPr="00524BDF">
            <w:rPr>
              <w:sz w:val="18"/>
              <w:lang w:val="es-ES_tradnl"/>
            </w:rPr>
            <w:t>Guía para la gestión de acumuladores y pilas</w:t>
          </w:r>
        </w:p>
      </w:tc>
      <w:tc>
        <w:tcPr>
          <w:tcW w:w="2268" w:type="dxa"/>
        </w:tcPr>
        <w:p w14:paraId="32AA8E88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542AD54A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414DB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D414DB" w:rsidRPr="00AE5C4B">
            <w:rPr>
              <w:b/>
              <w:sz w:val="18"/>
            </w:rPr>
            <w:fldChar w:fldCharType="separate"/>
          </w:r>
          <w:r w:rsidR="006D5524">
            <w:rPr>
              <w:b/>
              <w:noProof/>
              <w:sz w:val="18"/>
            </w:rPr>
            <w:t>2</w:t>
          </w:r>
          <w:r w:rsidR="00D414DB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414DB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D414DB" w:rsidRPr="00AE5C4B">
            <w:rPr>
              <w:b/>
              <w:sz w:val="18"/>
            </w:rPr>
            <w:fldChar w:fldCharType="separate"/>
          </w:r>
          <w:r w:rsidR="006D5524">
            <w:rPr>
              <w:b/>
              <w:noProof/>
              <w:sz w:val="18"/>
            </w:rPr>
            <w:t>3</w:t>
          </w:r>
          <w:r w:rsidR="00D414DB" w:rsidRPr="00AE5C4B">
            <w:rPr>
              <w:b/>
              <w:sz w:val="18"/>
            </w:rPr>
            <w:fldChar w:fldCharType="end"/>
          </w:r>
        </w:p>
      </w:tc>
    </w:tr>
  </w:tbl>
  <w:p w14:paraId="23C9B070" w14:textId="7CAD26ED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B3CD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B3CDC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6EA0F" w14:textId="432E7BB0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85A00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85A00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1B092" w14:textId="77777777" w:rsidR="007D34FF" w:rsidRDefault="007D34FF" w:rsidP="00AE035F">
      <w:pPr>
        <w:spacing w:after="0" w:line="240" w:lineRule="auto"/>
      </w:pPr>
      <w:r>
        <w:separator/>
      </w:r>
    </w:p>
  </w:footnote>
  <w:footnote w:type="continuationSeparator" w:id="0">
    <w:p w14:paraId="675FCBED" w14:textId="77777777" w:rsidR="007D34FF" w:rsidRDefault="007D34F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0149900C" w14:textId="77777777" w:rsidTr="00AE035F">
      <w:tc>
        <w:tcPr>
          <w:tcW w:w="6771" w:type="dxa"/>
        </w:tcPr>
        <w:p w14:paraId="4D6D5F90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7F807A0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E27C6D7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0F4DB9"/>
    <w:multiLevelType w:val="hybridMultilevel"/>
    <w:tmpl w:val="1560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58DA"/>
    <w:rsid w:val="00074A12"/>
    <w:rsid w:val="0007717B"/>
    <w:rsid w:val="000A10A4"/>
    <w:rsid w:val="000B0E0C"/>
    <w:rsid w:val="000B2446"/>
    <w:rsid w:val="000B3DA3"/>
    <w:rsid w:val="000C0DC6"/>
    <w:rsid w:val="000C1731"/>
    <w:rsid w:val="000E452B"/>
    <w:rsid w:val="000F1F0C"/>
    <w:rsid w:val="00116EF2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2233F3"/>
    <w:rsid w:val="002368C7"/>
    <w:rsid w:val="00243804"/>
    <w:rsid w:val="00262C28"/>
    <w:rsid w:val="00275B62"/>
    <w:rsid w:val="00282F32"/>
    <w:rsid w:val="00284E59"/>
    <w:rsid w:val="00291D00"/>
    <w:rsid w:val="002A31B8"/>
    <w:rsid w:val="002B7ADE"/>
    <w:rsid w:val="002D4D34"/>
    <w:rsid w:val="00312D2E"/>
    <w:rsid w:val="00316123"/>
    <w:rsid w:val="00321278"/>
    <w:rsid w:val="00321834"/>
    <w:rsid w:val="003316CB"/>
    <w:rsid w:val="00333256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E2FFB"/>
    <w:rsid w:val="003F1D5B"/>
    <w:rsid w:val="003F3414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85A00"/>
    <w:rsid w:val="004908B4"/>
    <w:rsid w:val="00491484"/>
    <w:rsid w:val="00494B5D"/>
    <w:rsid w:val="004B0D48"/>
    <w:rsid w:val="004B57FB"/>
    <w:rsid w:val="004B7046"/>
    <w:rsid w:val="004B79A5"/>
    <w:rsid w:val="004D4D38"/>
    <w:rsid w:val="004D7D97"/>
    <w:rsid w:val="004E063A"/>
    <w:rsid w:val="004E5789"/>
    <w:rsid w:val="004F63B4"/>
    <w:rsid w:val="004F6FB2"/>
    <w:rsid w:val="00505219"/>
    <w:rsid w:val="00507BC7"/>
    <w:rsid w:val="00511FB4"/>
    <w:rsid w:val="00524BDF"/>
    <w:rsid w:val="0053648E"/>
    <w:rsid w:val="0054162F"/>
    <w:rsid w:val="0055229E"/>
    <w:rsid w:val="00553076"/>
    <w:rsid w:val="00570A8D"/>
    <w:rsid w:val="005736F4"/>
    <w:rsid w:val="00575AD0"/>
    <w:rsid w:val="00583D55"/>
    <w:rsid w:val="00586240"/>
    <w:rsid w:val="005A56B2"/>
    <w:rsid w:val="005C5E87"/>
    <w:rsid w:val="005D5D01"/>
    <w:rsid w:val="005E3A88"/>
    <w:rsid w:val="005F5405"/>
    <w:rsid w:val="006273A4"/>
    <w:rsid w:val="0063742A"/>
    <w:rsid w:val="006502A4"/>
    <w:rsid w:val="0066732A"/>
    <w:rsid w:val="00674C25"/>
    <w:rsid w:val="00687C6E"/>
    <w:rsid w:val="00687CEE"/>
    <w:rsid w:val="006919C8"/>
    <w:rsid w:val="006949AE"/>
    <w:rsid w:val="006B096D"/>
    <w:rsid w:val="006B3390"/>
    <w:rsid w:val="006C2FCE"/>
    <w:rsid w:val="006C3497"/>
    <w:rsid w:val="006D0F17"/>
    <w:rsid w:val="006D3EBC"/>
    <w:rsid w:val="006D5524"/>
    <w:rsid w:val="006F5C99"/>
    <w:rsid w:val="006F7DDC"/>
    <w:rsid w:val="00700F27"/>
    <w:rsid w:val="00724629"/>
    <w:rsid w:val="007349C5"/>
    <w:rsid w:val="0073797E"/>
    <w:rsid w:val="00741559"/>
    <w:rsid w:val="00771B30"/>
    <w:rsid w:val="007B2B5E"/>
    <w:rsid w:val="007C3F3D"/>
    <w:rsid w:val="007D2DF9"/>
    <w:rsid w:val="007D34FF"/>
    <w:rsid w:val="007D4BA1"/>
    <w:rsid w:val="00813AF2"/>
    <w:rsid w:val="00834794"/>
    <w:rsid w:val="00842FE0"/>
    <w:rsid w:val="00860283"/>
    <w:rsid w:val="008604BA"/>
    <w:rsid w:val="00874A0E"/>
    <w:rsid w:val="00875364"/>
    <w:rsid w:val="00875876"/>
    <w:rsid w:val="0088736D"/>
    <w:rsid w:val="008902DA"/>
    <w:rsid w:val="00893C13"/>
    <w:rsid w:val="008A35DD"/>
    <w:rsid w:val="008A50F4"/>
    <w:rsid w:val="008B3CDC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B7B92"/>
    <w:rsid w:val="009C3F7A"/>
    <w:rsid w:val="009C470E"/>
    <w:rsid w:val="009E1428"/>
    <w:rsid w:val="009E77E6"/>
    <w:rsid w:val="009F3AFC"/>
    <w:rsid w:val="00A01752"/>
    <w:rsid w:val="00A05133"/>
    <w:rsid w:val="00A11102"/>
    <w:rsid w:val="00A2558B"/>
    <w:rsid w:val="00A2656E"/>
    <w:rsid w:val="00A267CB"/>
    <w:rsid w:val="00A36DA4"/>
    <w:rsid w:val="00A41C15"/>
    <w:rsid w:val="00A42135"/>
    <w:rsid w:val="00A7672C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4ED"/>
    <w:rsid w:val="00B61269"/>
    <w:rsid w:val="00B83A87"/>
    <w:rsid w:val="00BB1F88"/>
    <w:rsid w:val="00BB66F0"/>
    <w:rsid w:val="00BE5E88"/>
    <w:rsid w:val="00C07BBE"/>
    <w:rsid w:val="00C12F81"/>
    <w:rsid w:val="00C16245"/>
    <w:rsid w:val="00C22728"/>
    <w:rsid w:val="00C2395F"/>
    <w:rsid w:val="00C35C93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D1E63"/>
    <w:rsid w:val="00CF739D"/>
    <w:rsid w:val="00D06B72"/>
    <w:rsid w:val="00D301A4"/>
    <w:rsid w:val="00D31762"/>
    <w:rsid w:val="00D326E7"/>
    <w:rsid w:val="00D33250"/>
    <w:rsid w:val="00D3674A"/>
    <w:rsid w:val="00D414DB"/>
    <w:rsid w:val="00D42942"/>
    <w:rsid w:val="00D45AF7"/>
    <w:rsid w:val="00D576D1"/>
    <w:rsid w:val="00D7184B"/>
    <w:rsid w:val="00D72078"/>
    <w:rsid w:val="00D91C5E"/>
    <w:rsid w:val="00D94B43"/>
    <w:rsid w:val="00DA78C6"/>
    <w:rsid w:val="00DB46A1"/>
    <w:rsid w:val="00DD2C83"/>
    <w:rsid w:val="00DF09C9"/>
    <w:rsid w:val="00E00192"/>
    <w:rsid w:val="00E067E8"/>
    <w:rsid w:val="00E147B7"/>
    <w:rsid w:val="00E2272B"/>
    <w:rsid w:val="00E23DD9"/>
    <w:rsid w:val="00E3052C"/>
    <w:rsid w:val="00E35741"/>
    <w:rsid w:val="00E46AD9"/>
    <w:rsid w:val="00E82B50"/>
    <w:rsid w:val="00E85258"/>
    <w:rsid w:val="00E85986"/>
    <w:rsid w:val="00EA129F"/>
    <w:rsid w:val="00EA4B07"/>
    <w:rsid w:val="00EB0B4D"/>
    <w:rsid w:val="00ED61FD"/>
    <w:rsid w:val="00EE4827"/>
    <w:rsid w:val="00EE4DB6"/>
    <w:rsid w:val="00F02560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51CAB"/>
    <w:rsid w:val="00F61E7D"/>
    <w:rsid w:val="00F66238"/>
    <w:rsid w:val="00F70B35"/>
    <w:rsid w:val="00F86933"/>
    <w:rsid w:val="00F955A9"/>
    <w:rsid w:val="00FA72FE"/>
    <w:rsid w:val="00FB6DF5"/>
    <w:rsid w:val="00FE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F12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guideline-for-used-batteries-and-accumulators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11431-F8C7-4063-B82D-5D497EFF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7 - Guía para tratamiento de baterías y acumuladores usados</vt:lpstr>
      <vt:lpstr>Lineamientos para tratamiento de baterías y acumuladores usados</vt:lpstr>
    </vt:vector>
  </TitlesOfParts>
  <Manager/>
  <Company>EPPS Services Ltd</Company>
  <LinksUpToDate>false</LinksUpToDate>
  <CharactersWithSpaces>3076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7 - Guía para la gestión de acumuladores y pilas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2014-11-21T19:19:00Z</dcterms:created>
  <dcterms:modified xsi:type="dcterms:W3CDTF">2015-08-28T21:44:00Z</dcterms:modified>
  <cp:category/>
</cp:coreProperties>
</file>