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6D4D4" w14:textId="05814F48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F86FD2">
        <w:rPr>
          <w:b/>
          <w:sz w:val="28"/>
        </w:rPr>
        <w:t>péndice 2 –</w:t>
      </w:r>
      <w:r>
        <w:rPr>
          <w:b/>
          <w:sz w:val="28"/>
        </w:rPr>
        <w:t xml:space="preserve"> Inventario de </w:t>
      </w:r>
      <w:r w:rsidR="00CE377C">
        <w:rPr>
          <w:b/>
          <w:sz w:val="28"/>
        </w:rPr>
        <w:t>r</w:t>
      </w:r>
      <w:r>
        <w:rPr>
          <w:b/>
          <w:sz w:val="28"/>
        </w:rPr>
        <w:t xml:space="preserve">eclamos de </w:t>
      </w:r>
      <w:r w:rsidR="00CE377C">
        <w:rPr>
          <w:b/>
          <w:sz w:val="28"/>
        </w:rPr>
        <w:t>c</w:t>
      </w:r>
      <w:r>
        <w:rPr>
          <w:b/>
          <w:sz w:val="28"/>
        </w:rPr>
        <w:t>liente</w:t>
      </w:r>
      <w:r w:rsidR="00937044">
        <w:rPr>
          <w:b/>
          <w:sz w:val="28"/>
        </w:rPr>
        <w:t xml:space="preserve">s </w:t>
      </w:r>
      <w:r w:rsidR="00937044" w:rsidRPr="00937044">
        <w:rPr>
          <w:b/>
          <w:sz w:val="28"/>
        </w:rPr>
        <w:t>y partes interesadas</w:t>
      </w:r>
      <w:commentRangeEnd w:id="0"/>
      <w:r w:rsidR="007D23A4">
        <w:rPr>
          <w:rStyle w:val="Referencakomentara"/>
        </w:rPr>
        <w:commentReference w:id="0"/>
      </w:r>
      <w:r w:rsidR="00937044">
        <w:rPr>
          <w:b/>
          <w:sz w:val="28"/>
        </w:rPr>
        <w:t xml:space="preserve"> </w:t>
      </w:r>
      <w:r w:rsidR="001544DE">
        <w:rPr>
          <w:b/>
          <w:sz w:val="28"/>
        </w:rPr>
        <w:t xml:space="preserve"> </w:t>
      </w:r>
    </w:p>
    <w:p w14:paraId="0B0B6D60" w14:textId="65FBA99E" w:rsidR="0055188A" w:rsidRPr="00740CC9" w:rsidRDefault="0055188A" w:rsidP="0055188A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58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682"/>
        <w:gridCol w:w="1276"/>
        <w:gridCol w:w="1102"/>
        <w:gridCol w:w="1170"/>
        <w:gridCol w:w="1170"/>
        <w:gridCol w:w="1236"/>
        <w:gridCol w:w="1134"/>
        <w:gridCol w:w="1410"/>
        <w:gridCol w:w="1170"/>
        <w:gridCol w:w="1170"/>
        <w:gridCol w:w="1440"/>
        <w:gridCol w:w="810"/>
        <w:gridCol w:w="810"/>
      </w:tblGrid>
      <w:tr w:rsidR="00D13DF0" w:rsidRPr="00626DB7" w14:paraId="5CAF29CF" w14:textId="77777777" w:rsidTr="00C156EC">
        <w:trPr>
          <w:trHeight w:val="391"/>
        </w:trPr>
        <w:tc>
          <w:tcPr>
            <w:tcW w:w="682" w:type="dxa"/>
            <w:vMerge w:val="restart"/>
            <w:shd w:val="clear" w:color="auto" w:fill="BFBFBF" w:themeFill="background1" w:themeFillShade="BF"/>
          </w:tcPr>
          <w:p w14:paraId="7E3F9584" w14:textId="77777777" w:rsidR="00626DB7" w:rsidRPr="00626DB7" w:rsidRDefault="00626DB7" w:rsidP="004E664F">
            <w:r>
              <w:t>Nro.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6857D440" w14:textId="77777777" w:rsidR="00626DB7" w:rsidRPr="00626DB7" w:rsidRDefault="00626DB7" w:rsidP="004E664F">
            <w:r>
              <w:t>Descripción del reclamo</w:t>
            </w:r>
          </w:p>
        </w:tc>
        <w:tc>
          <w:tcPr>
            <w:tcW w:w="1102" w:type="dxa"/>
            <w:vMerge w:val="restart"/>
            <w:shd w:val="clear" w:color="auto" w:fill="BFBFBF" w:themeFill="background1" w:themeFillShade="BF"/>
          </w:tcPr>
          <w:p w14:paraId="0C76794A" w14:textId="1741E9BC" w:rsidR="00626DB7" w:rsidRPr="00626DB7" w:rsidRDefault="0055188A" w:rsidP="004E664F">
            <w:r>
              <w:t>…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3817BDC9" w14:textId="77777777" w:rsidR="00626DB7" w:rsidRPr="00626DB7" w:rsidRDefault="00626DB7" w:rsidP="004E664F">
            <w:r>
              <w:t>Fecha de recepción del reclamo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01D8A0D0" w14:textId="3E759B6B" w:rsidR="00626DB7" w:rsidRPr="00626DB7" w:rsidRDefault="0055188A" w:rsidP="004E664F">
            <w:r>
              <w:t>…</w:t>
            </w:r>
          </w:p>
        </w:tc>
        <w:tc>
          <w:tcPr>
            <w:tcW w:w="2370" w:type="dxa"/>
            <w:gridSpan w:val="2"/>
            <w:shd w:val="clear" w:color="auto" w:fill="BFBFBF" w:themeFill="background1" w:themeFillShade="BF"/>
            <w:vAlign w:val="center"/>
          </w:tcPr>
          <w:p w14:paraId="6E9E0867" w14:textId="77777777" w:rsidR="00626DB7" w:rsidRPr="00626DB7" w:rsidRDefault="00626DB7" w:rsidP="00D13DF0">
            <w:pPr>
              <w:spacing w:after="0"/>
            </w:pPr>
            <w:r>
              <w:t>Estado del reclamo</w:t>
            </w:r>
          </w:p>
        </w:tc>
        <w:tc>
          <w:tcPr>
            <w:tcW w:w="1410" w:type="dxa"/>
            <w:vMerge w:val="restart"/>
            <w:shd w:val="clear" w:color="auto" w:fill="BFBFBF" w:themeFill="background1" w:themeFillShade="BF"/>
          </w:tcPr>
          <w:p w14:paraId="3FB54424" w14:textId="77777777" w:rsidR="00626DB7" w:rsidRPr="00626DB7" w:rsidRDefault="00626DB7" w:rsidP="004E664F">
            <w:commentRangeStart w:id="1"/>
            <w:r>
              <w:t>Sugerencias para tratamiento del reclamo</w:t>
            </w:r>
            <w:commentRangeEnd w:id="1"/>
            <w:r w:rsidR="007D23A4">
              <w:rPr>
                <w:rStyle w:val="Referencakomentara"/>
              </w:rPr>
              <w:commentReference w:id="1"/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2803F910" w14:textId="42DBB712" w:rsidR="00626DB7" w:rsidRPr="00626DB7" w:rsidRDefault="0055188A" w:rsidP="004E664F">
            <w:r>
              <w:t>…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14:paraId="3B76A870" w14:textId="77777777" w:rsidR="00626DB7" w:rsidRPr="00626DB7" w:rsidRDefault="00626DB7" w:rsidP="004E664F">
            <w:commentRangeStart w:id="2"/>
            <w:r>
              <w:t>Plazo de ejecución:</w:t>
            </w:r>
            <w:commentRangeEnd w:id="2"/>
            <w:r w:rsidR="007D23A4">
              <w:rPr>
                <w:rStyle w:val="Referencakomentara"/>
              </w:rPr>
              <w:commentReference w:id="2"/>
            </w:r>
          </w:p>
        </w:tc>
        <w:tc>
          <w:tcPr>
            <w:tcW w:w="1440" w:type="dxa"/>
            <w:vMerge w:val="restart"/>
            <w:shd w:val="clear" w:color="auto" w:fill="BFBFBF" w:themeFill="background1" w:themeFillShade="BF"/>
          </w:tcPr>
          <w:p w14:paraId="5228B16B" w14:textId="132A6E81" w:rsidR="00626DB7" w:rsidRPr="00626DB7" w:rsidRDefault="0055188A" w:rsidP="004E664F">
            <w:r>
              <w:t>…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</w:tcPr>
          <w:p w14:paraId="7E2B42D0" w14:textId="77777777" w:rsidR="00626DB7" w:rsidRPr="00626DB7" w:rsidRDefault="00626DB7" w:rsidP="004E664F">
            <w:r>
              <w:t xml:space="preserve">Medida correctiva iniciada </w:t>
            </w:r>
          </w:p>
        </w:tc>
      </w:tr>
      <w:tr w:rsidR="00D13DF0" w:rsidRPr="00626DB7" w14:paraId="75CEFD6A" w14:textId="77777777" w:rsidTr="00C156EC">
        <w:trPr>
          <w:trHeight w:val="210"/>
        </w:trPr>
        <w:tc>
          <w:tcPr>
            <w:tcW w:w="682" w:type="dxa"/>
            <w:vMerge/>
            <w:shd w:val="clear" w:color="auto" w:fill="BFBFBF" w:themeFill="background1" w:themeFillShade="BF"/>
          </w:tcPr>
          <w:p w14:paraId="46E3DAF7" w14:textId="77777777" w:rsidR="00626DB7" w:rsidRPr="00626DB7" w:rsidRDefault="00626DB7" w:rsidP="004E664F"/>
        </w:tc>
        <w:tc>
          <w:tcPr>
            <w:tcW w:w="1276" w:type="dxa"/>
            <w:vMerge/>
            <w:shd w:val="clear" w:color="auto" w:fill="BFBFBF" w:themeFill="background1" w:themeFillShade="BF"/>
          </w:tcPr>
          <w:p w14:paraId="2E541DBB" w14:textId="77777777" w:rsidR="00626DB7" w:rsidRPr="00626DB7" w:rsidRDefault="00626DB7" w:rsidP="004E664F"/>
        </w:tc>
        <w:tc>
          <w:tcPr>
            <w:tcW w:w="1102" w:type="dxa"/>
            <w:vMerge/>
            <w:shd w:val="clear" w:color="auto" w:fill="BFBFBF" w:themeFill="background1" w:themeFillShade="BF"/>
          </w:tcPr>
          <w:p w14:paraId="6C056D44" w14:textId="77777777" w:rsidR="00626DB7" w:rsidRPr="00626DB7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273DBDD8" w14:textId="77777777" w:rsidR="00626DB7" w:rsidRPr="00626DB7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06A8CFEE" w14:textId="77777777" w:rsidR="00626DB7" w:rsidRPr="00626DB7" w:rsidRDefault="00626DB7" w:rsidP="004E664F"/>
        </w:tc>
        <w:tc>
          <w:tcPr>
            <w:tcW w:w="1236" w:type="dxa"/>
            <w:shd w:val="clear" w:color="auto" w:fill="BFBFBF" w:themeFill="background1" w:themeFillShade="BF"/>
          </w:tcPr>
          <w:p w14:paraId="153D8361" w14:textId="60CE42E2" w:rsidR="00626DB7" w:rsidRPr="00626DB7" w:rsidRDefault="0055188A" w:rsidP="004E664F">
            <w:r>
              <w:t>…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3E5D044" w14:textId="2422472C" w:rsidR="00626DB7" w:rsidRPr="00626DB7" w:rsidRDefault="0055188A" w:rsidP="004E664F">
            <w:r>
              <w:t>…</w:t>
            </w:r>
          </w:p>
        </w:tc>
        <w:tc>
          <w:tcPr>
            <w:tcW w:w="1410" w:type="dxa"/>
            <w:vMerge/>
            <w:shd w:val="clear" w:color="auto" w:fill="BFBFBF" w:themeFill="background1" w:themeFillShade="BF"/>
          </w:tcPr>
          <w:p w14:paraId="5273AB1A" w14:textId="77777777" w:rsidR="00626DB7" w:rsidRPr="00626DB7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3A77DB96" w14:textId="77777777" w:rsidR="00626DB7" w:rsidRPr="00626DB7" w:rsidRDefault="00626DB7" w:rsidP="004E664F"/>
        </w:tc>
        <w:tc>
          <w:tcPr>
            <w:tcW w:w="1170" w:type="dxa"/>
            <w:vMerge/>
            <w:shd w:val="clear" w:color="auto" w:fill="BFBFBF" w:themeFill="background1" w:themeFillShade="BF"/>
          </w:tcPr>
          <w:p w14:paraId="232FECD9" w14:textId="77777777" w:rsidR="00626DB7" w:rsidRPr="00626DB7" w:rsidRDefault="00626DB7" w:rsidP="004E664F"/>
        </w:tc>
        <w:tc>
          <w:tcPr>
            <w:tcW w:w="1440" w:type="dxa"/>
            <w:vMerge/>
            <w:shd w:val="clear" w:color="auto" w:fill="BFBFBF" w:themeFill="background1" w:themeFillShade="BF"/>
          </w:tcPr>
          <w:p w14:paraId="009E1521" w14:textId="77777777" w:rsidR="00626DB7" w:rsidRPr="00626DB7" w:rsidRDefault="00626DB7" w:rsidP="004E664F"/>
        </w:tc>
        <w:tc>
          <w:tcPr>
            <w:tcW w:w="810" w:type="dxa"/>
            <w:shd w:val="clear" w:color="auto" w:fill="BFBFBF" w:themeFill="background1" w:themeFillShade="BF"/>
          </w:tcPr>
          <w:p w14:paraId="4B9D53BA" w14:textId="77777777" w:rsidR="00626DB7" w:rsidRPr="00626DB7" w:rsidRDefault="00626DB7" w:rsidP="004E664F">
            <w:r>
              <w:t>Sí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6DA1DE03" w14:textId="77777777" w:rsidR="00626DB7" w:rsidRPr="00626DB7" w:rsidRDefault="00626DB7" w:rsidP="004E664F">
            <w:r>
              <w:t>No</w:t>
            </w:r>
          </w:p>
        </w:tc>
      </w:tr>
      <w:tr w:rsidR="00626DB7" w:rsidRPr="00626DB7" w14:paraId="24302D23" w14:textId="77777777" w:rsidTr="00C156EC">
        <w:tc>
          <w:tcPr>
            <w:tcW w:w="682" w:type="dxa"/>
          </w:tcPr>
          <w:p w14:paraId="20DCD41B" w14:textId="77777777" w:rsidR="00626DB7" w:rsidRPr="00626DB7" w:rsidRDefault="00626DB7" w:rsidP="004E664F"/>
        </w:tc>
        <w:tc>
          <w:tcPr>
            <w:tcW w:w="1276" w:type="dxa"/>
          </w:tcPr>
          <w:p w14:paraId="52C1C861" w14:textId="77777777" w:rsidR="00626DB7" w:rsidRPr="00626DB7" w:rsidRDefault="00626DB7" w:rsidP="004E664F"/>
        </w:tc>
        <w:tc>
          <w:tcPr>
            <w:tcW w:w="1102" w:type="dxa"/>
          </w:tcPr>
          <w:p w14:paraId="6F311065" w14:textId="77777777" w:rsidR="00626DB7" w:rsidRPr="00626DB7" w:rsidRDefault="00626DB7" w:rsidP="004E664F"/>
        </w:tc>
        <w:tc>
          <w:tcPr>
            <w:tcW w:w="1170" w:type="dxa"/>
          </w:tcPr>
          <w:p w14:paraId="484EE6C1" w14:textId="77777777" w:rsidR="00626DB7" w:rsidRPr="00626DB7" w:rsidRDefault="00626DB7" w:rsidP="004E664F"/>
        </w:tc>
        <w:tc>
          <w:tcPr>
            <w:tcW w:w="1170" w:type="dxa"/>
          </w:tcPr>
          <w:p w14:paraId="15F761E4" w14:textId="77777777" w:rsidR="00626DB7" w:rsidRPr="00626DB7" w:rsidRDefault="00626DB7" w:rsidP="004E664F"/>
        </w:tc>
        <w:tc>
          <w:tcPr>
            <w:tcW w:w="1236" w:type="dxa"/>
          </w:tcPr>
          <w:p w14:paraId="4E733142" w14:textId="77777777" w:rsidR="00626DB7" w:rsidRPr="00626DB7" w:rsidRDefault="00626DB7" w:rsidP="004E664F"/>
        </w:tc>
        <w:tc>
          <w:tcPr>
            <w:tcW w:w="1134" w:type="dxa"/>
          </w:tcPr>
          <w:p w14:paraId="34358B1E" w14:textId="77777777" w:rsidR="00626DB7" w:rsidRPr="00626DB7" w:rsidRDefault="00626DB7" w:rsidP="004E664F"/>
        </w:tc>
        <w:tc>
          <w:tcPr>
            <w:tcW w:w="1410" w:type="dxa"/>
          </w:tcPr>
          <w:p w14:paraId="0526C516" w14:textId="77777777" w:rsidR="00626DB7" w:rsidRPr="00626DB7" w:rsidRDefault="00626DB7" w:rsidP="004E664F"/>
        </w:tc>
        <w:tc>
          <w:tcPr>
            <w:tcW w:w="1170" w:type="dxa"/>
          </w:tcPr>
          <w:p w14:paraId="3B637F89" w14:textId="77777777" w:rsidR="00626DB7" w:rsidRPr="00626DB7" w:rsidRDefault="00626DB7" w:rsidP="004E664F"/>
        </w:tc>
        <w:tc>
          <w:tcPr>
            <w:tcW w:w="1170" w:type="dxa"/>
          </w:tcPr>
          <w:p w14:paraId="73207A7E" w14:textId="77777777" w:rsidR="00626DB7" w:rsidRPr="00626DB7" w:rsidRDefault="00626DB7" w:rsidP="004E664F"/>
        </w:tc>
        <w:tc>
          <w:tcPr>
            <w:tcW w:w="1440" w:type="dxa"/>
          </w:tcPr>
          <w:p w14:paraId="400817CE" w14:textId="77777777" w:rsidR="00626DB7" w:rsidRPr="00626DB7" w:rsidRDefault="00626DB7" w:rsidP="004E664F"/>
        </w:tc>
        <w:tc>
          <w:tcPr>
            <w:tcW w:w="810" w:type="dxa"/>
          </w:tcPr>
          <w:p w14:paraId="11860032" w14:textId="77777777" w:rsidR="00626DB7" w:rsidRPr="00626DB7" w:rsidRDefault="00626DB7" w:rsidP="004E664F"/>
        </w:tc>
        <w:tc>
          <w:tcPr>
            <w:tcW w:w="810" w:type="dxa"/>
          </w:tcPr>
          <w:p w14:paraId="5CC24725" w14:textId="77777777" w:rsidR="00626DB7" w:rsidRPr="00626DB7" w:rsidRDefault="00626DB7" w:rsidP="004E664F"/>
        </w:tc>
      </w:tr>
      <w:tr w:rsidR="00626DB7" w:rsidRPr="00626DB7" w14:paraId="79BAAE8B" w14:textId="77777777" w:rsidTr="00C156EC">
        <w:tc>
          <w:tcPr>
            <w:tcW w:w="682" w:type="dxa"/>
          </w:tcPr>
          <w:p w14:paraId="67405142" w14:textId="77777777" w:rsidR="00626DB7" w:rsidRPr="00626DB7" w:rsidRDefault="00626DB7" w:rsidP="004E664F"/>
        </w:tc>
        <w:tc>
          <w:tcPr>
            <w:tcW w:w="1276" w:type="dxa"/>
          </w:tcPr>
          <w:p w14:paraId="297A3E00" w14:textId="77777777" w:rsidR="00626DB7" w:rsidRPr="00626DB7" w:rsidRDefault="00626DB7" w:rsidP="004E664F"/>
        </w:tc>
        <w:tc>
          <w:tcPr>
            <w:tcW w:w="1102" w:type="dxa"/>
          </w:tcPr>
          <w:p w14:paraId="51A9447D" w14:textId="77777777" w:rsidR="00626DB7" w:rsidRPr="00626DB7" w:rsidRDefault="00626DB7" w:rsidP="004E664F"/>
        </w:tc>
        <w:tc>
          <w:tcPr>
            <w:tcW w:w="1170" w:type="dxa"/>
          </w:tcPr>
          <w:p w14:paraId="65B55BFB" w14:textId="77777777" w:rsidR="00626DB7" w:rsidRPr="00626DB7" w:rsidRDefault="00626DB7" w:rsidP="004E664F"/>
        </w:tc>
        <w:tc>
          <w:tcPr>
            <w:tcW w:w="1170" w:type="dxa"/>
          </w:tcPr>
          <w:p w14:paraId="79968D96" w14:textId="77777777" w:rsidR="00626DB7" w:rsidRPr="00626DB7" w:rsidRDefault="00626DB7" w:rsidP="004E664F"/>
        </w:tc>
        <w:tc>
          <w:tcPr>
            <w:tcW w:w="1236" w:type="dxa"/>
          </w:tcPr>
          <w:p w14:paraId="1FC2B8CB" w14:textId="77777777" w:rsidR="00626DB7" w:rsidRPr="00626DB7" w:rsidRDefault="00626DB7" w:rsidP="004E664F"/>
        </w:tc>
        <w:tc>
          <w:tcPr>
            <w:tcW w:w="1134" w:type="dxa"/>
          </w:tcPr>
          <w:p w14:paraId="0C37FC9F" w14:textId="77777777" w:rsidR="00626DB7" w:rsidRPr="00626DB7" w:rsidRDefault="00626DB7" w:rsidP="004E664F"/>
        </w:tc>
        <w:tc>
          <w:tcPr>
            <w:tcW w:w="1410" w:type="dxa"/>
          </w:tcPr>
          <w:p w14:paraId="5AE30E11" w14:textId="77777777" w:rsidR="00626DB7" w:rsidRPr="00626DB7" w:rsidRDefault="00626DB7" w:rsidP="004E664F"/>
        </w:tc>
        <w:tc>
          <w:tcPr>
            <w:tcW w:w="1170" w:type="dxa"/>
          </w:tcPr>
          <w:p w14:paraId="539F85C1" w14:textId="77777777" w:rsidR="00626DB7" w:rsidRPr="00626DB7" w:rsidRDefault="00626DB7" w:rsidP="004E664F"/>
        </w:tc>
        <w:tc>
          <w:tcPr>
            <w:tcW w:w="1170" w:type="dxa"/>
          </w:tcPr>
          <w:p w14:paraId="29DB2650" w14:textId="77777777" w:rsidR="00626DB7" w:rsidRPr="00626DB7" w:rsidRDefault="00626DB7" w:rsidP="004E664F"/>
        </w:tc>
        <w:tc>
          <w:tcPr>
            <w:tcW w:w="1440" w:type="dxa"/>
          </w:tcPr>
          <w:p w14:paraId="5759A5CD" w14:textId="77777777" w:rsidR="00626DB7" w:rsidRPr="00626DB7" w:rsidRDefault="00626DB7" w:rsidP="004E664F"/>
        </w:tc>
        <w:tc>
          <w:tcPr>
            <w:tcW w:w="810" w:type="dxa"/>
          </w:tcPr>
          <w:p w14:paraId="253A820A" w14:textId="77777777" w:rsidR="00626DB7" w:rsidRPr="00626DB7" w:rsidRDefault="00626DB7" w:rsidP="004E664F"/>
        </w:tc>
        <w:tc>
          <w:tcPr>
            <w:tcW w:w="810" w:type="dxa"/>
          </w:tcPr>
          <w:p w14:paraId="509B87EF" w14:textId="77777777" w:rsidR="00626DB7" w:rsidRPr="00626DB7" w:rsidRDefault="00626DB7" w:rsidP="004E664F"/>
        </w:tc>
      </w:tr>
      <w:tr w:rsidR="00626DB7" w:rsidRPr="00626DB7" w14:paraId="20C3E44B" w14:textId="77777777" w:rsidTr="00C156EC">
        <w:tc>
          <w:tcPr>
            <w:tcW w:w="682" w:type="dxa"/>
          </w:tcPr>
          <w:p w14:paraId="09C6F8B8" w14:textId="77777777" w:rsidR="00626DB7" w:rsidRPr="00626DB7" w:rsidRDefault="00626DB7" w:rsidP="004E664F"/>
        </w:tc>
        <w:tc>
          <w:tcPr>
            <w:tcW w:w="1276" w:type="dxa"/>
          </w:tcPr>
          <w:p w14:paraId="314065D0" w14:textId="77777777" w:rsidR="00626DB7" w:rsidRPr="00626DB7" w:rsidRDefault="00626DB7" w:rsidP="004E664F"/>
        </w:tc>
        <w:tc>
          <w:tcPr>
            <w:tcW w:w="1102" w:type="dxa"/>
          </w:tcPr>
          <w:p w14:paraId="0E8EB488" w14:textId="77777777" w:rsidR="00626DB7" w:rsidRPr="00626DB7" w:rsidRDefault="00626DB7" w:rsidP="004E664F"/>
        </w:tc>
        <w:tc>
          <w:tcPr>
            <w:tcW w:w="1170" w:type="dxa"/>
          </w:tcPr>
          <w:p w14:paraId="13B08253" w14:textId="77777777" w:rsidR="00626DB7" w:rsidRPr="00626DB7" w:rsidRDefault="00626DB7" w:rsidP="004E664F"/>
        </w:tc>
        <w:tc>
          <w:tcPr>
            <w:tcW w:w="1170" w:type="dxa"/>
          </w:tcPr>
          <w:p w14:paraId="7584777A" w14:textId="77777777" w:rsidR="00626DB7" w:rsidRPr="00626DB7" w:rsidRDefault="00626DB7" w:rsidP="004E664F"/>
        </w:tc>
        <w:tc>
          <w:tcPr>
            <w:tcW w:w="1236" w:type="dxa"/>
          </w:tcPr>
          <w:p w14:paraId="75E86E8A" w14:textId="77777777" w:rsidR="00626DB7" w:rsidRPr="00626DB7" w:rsidRDefault="00626DB7" w:rsidP="004E664F"/>
        </w:tc>
        <w:tc>
          <w:tcPr>
            <w:tcW w:w="1134" w:type="dxa"/>
          </w:tcPr>
          <w:p w14:paraId="70E5A1A3" w14:textId="77777777" w:rsidR="00626DB7" w:rsidRPr="00626DB7" w:rsidRDefault="00626DB7" w:rsidP="004E664F"/>
        </w:tc>
        <w:tc>
          <w:tcPr>
            <w:tcW w:w="1410" w:type="dxa"/>
          </w:tcPr>
          <w:p w14:paraId="3476CDA5" w14:textId="77777777" w:rsidR="00626DB7" w:rsidRPr="00626DB7" w:rsidRDefault="00626DB7" w:rsidP="004E664F"/>
        </w:tc>
        <w:tc>
          <w:tcPr>
            <w:tcW w:w="1170" w:type="dxa"/>
          </w:tcPr>
          <w:p w14:paraId="4CBC0E47" w14:textId="77777777" w:rsidR="00626DB7" w:rsidRPr="00626DB7" w:rsidRDefault="00626DB7" w:rsidP="004E664F"/>
        </w:tc>
        <w:tc>
          <w:tcPr>
            <w:tcW w:w="1170" w:type="dxa"/>
          </w:tcPr>
          <w:p w14:paraId="657CA3BD" w14:textId="77777777" w:rsidR="00626DB7" w:rsidRPr="00626DB7" w:rsidRDefault="00626DB7" w:rsidP="004E664F"/>
        </w:tc>
        <w:tc>
          <w:tcPr>
            <w:tcW w:w="1440" w:type="dxa"/>
          </w:tcPr>
          <w:p w14:paraId="79A283B7" w14:textId="77777777" w:rsidR="00626DB7" w:rsidRPr="00626DB7" w:rsidRDefault="00626DB7" w:rsidP="004E664F"/>
        </w:tc>
        <w:tc>
          <w:tcPr>
            <w:tcW w:w="810" w:type="dxa"/>
          </w:tcPr>
          <w:p w14:paraId="6AA3FF8F" w14:textId="77777777" w:rsidR="00626DB7" w:rsidRPr="00626DB7" w:rsidRDefault="00626DB7" w:rsidP="004E664F"/>
        </w:tc>
        <w:tc>
          <w:tcPr>
            <w:tcW w:w="810" w:type="dxa"/>
          </w:tcPr>
          <w:p w14:paraId="3090095C" w14:textId="77777777" w:rsidR="00626DB7" w:rsidRPr="00626DB7" w:rsidRDefault="00626DB7" w:rsidP="004E664F"/>
        </w:tc>
      </w:tr>
      <w:tr w:rsidR="00626DB7" w:rsidRPr="00626DB7" w14:paraId="304C2BD7" w14:textId="77777777" w:rsidTr="00C156EC">
        <w:tc>
          <w:tcPr>
            <w:tcW w:w="682" w:type="dxa"/>
          </w:tcPr>
          <w:p w14:paraId="1619CADE" w14:textId="77777777" w:rsidR="00626DB7" w:rsidRPr="00626DB7" w:rsidRDefault="00626DB7" w:rsidP="004E664F"/>
        </w:tc>
        <w:tc>
          <w:tcPr>
            <w:tcW w:w="1276" w:type="dxa"/>
          </w:tcPr>
          <w:p w14:paraId="76887445" w14:textId="77777777" w:rsidR="00626DB7" w:rsidRPr="00626DB7" w:rsidRDefault="00626DB7" w:rsidP="004E664F"/>
        </w:tc>
        <w:tc>
          <w:tcPr>
            <w:tcW w:w="1102" w:type="dxa"/>
          </w:tcPr>
          <w:p w14:paraId="6BE18229" w14:textId="77777777" w:rsidR="00626DB7" w:rsidRPr="00626DB7" w:rsidRDefault="00626DB7" w:rsidP="004E664F"/>
        </w:tc>
        <w:tc>
          <w:tcPr>
            <w:tcW w:w="1170" w:type="dxa"/>
          </w:tcPr>
          <w:p w14:paraId="454B4BEA" w14:textId="77777777" w:rsidR="00626DB7" w:rsidRPr="00626DB7" w:rsidRDefault="00626DB7" w:rsidP="004E664F"/>
        </w:tc>
        <w:tc>
          <w:tcPr>
            <w:tcW w:w="1170" w:type="dxa"/>
          </w:tcPr>
          <w:p w14:paraId="74AC34EF" w14:textId="77777777" w:rsidR="00626DB7" w:rsidRPr="00626DB7" w:rsidRDefault="00626DB7" w:rsidP="004E664F"/>
        </w:tc>
        <w:tc>
          <w:tcPr>
            <w:tcW w:w="1236" w:type="dxa"/>
          </w:tcPr>
          <w:p w14:paraId="0D77A85E" w14:textId="77777777" w:rsidR="00626DB7" w:rsidRPr="00626DB7" w:rsidRDefault="00626DB7" w:rsidP="004E664F"/>
        </w:tc>
        <w:tc>
          <w:tcPr>
            <w:tcW w:w="1134" w:type="dxa"/>
          </w:tcPr>
          <w:p w14:paraId="4282D539" w14:textId="77777777" w:rsidR="00626DB7" w:rsidRPr="00626DB7" w:rsidRDefault="00626DB7" w:rsidP="004E664F"/>
        </w:tc>
        <w:tc>
          <w:tcPr>
            <w:tcW w:w="1410" w:type="dxa"/>
          </w:tcPr>
          <w:p w14:paraId="303AB297" w14:textId="77777777" w:rsidR="00626DB7" w:rsidRPr="00626DB7" w:rsidRDefault="00626DB7" w:rsidP="004E664F"/>
        </w:tc>
        <w:tc>
          <w:tcPr>
            <w:tcW w:w="1170" w:type="dxa"/>
          </w:tcPr>
          <w:p w14:paraId="56E21E40" w14:textId="77777777" w:rsidR="00626DB7" w:rsidRPr="00626DB7" w:rsidRDefault="00626DB7" w:rsidP="004E664F"/>
        </w:tc>
        <w:tc>
          <w:tcPr>
            <w:tcW w:w="1170" w:type="dxa"/>
          </w:tcPr>
          <w:p w14:paraId="3BAF5D75" w14:textId="77777777" w:rsidR="00626DB7" w:rsidRPr="00626DB7" w:rsidRDefault="00626DB7" w:rsidP="004E664F"/>
        </w:tc>
        <w:tc>
          <w:tcPr>
            <w:tcW w:w="1440" w:type="dxa"/>
          </w:tcPr>
          <w:p w14:paraId="51A13409" w14:textId="77777777" w:rsidR="00626DB7" w:rsidRPr="00626DB7" w:rsidRDefault="00626DB7" w:rsidP="004E664F"/>
        </w:tc>
        <w:tc>
          <w:tcPr>
            <w:tcW w:w="810" w:type="dxa"/>
          </w:tcPr>
          <w:p w14:paraId="305611A4" w14:textId="77777777" w:rsidR="00626DB7" w:rsidRPr="00626DB7" w:rsidRDefault="00626DB7" w:rsidP="004E664F"/>
        </w:tc>
        <w:tc>
          <w:tcPr>
            <w:tcW w:w="810" w:type="dxa"/>
          </w:tcPr>
          <w:p w14:paraId="70EF8848" w14:textId="77777777" w:rsidR="00626DB7" w:rsidRPr="00626DB7" w:rsidRDefault="00626DB7" w:rsidP="004E664F"/>
        </w:tc>
      </w:tr>
      <w:tr w:rsidR="00626DB7" w:rsidRPr="00626DB7" w14:paraId="23494EBE" w14:textId="77777777" w:rsidTr="00C156EC">
        <w:tc>
          <w:tcPr>
            <w:tcW w:w="682" w:type="dxa"/>
          </w:tcPr>
          <w:p w14:paraId="753AB058" w14:textId="77777777" w:rsidR="00626DB7" w:rsidRPr="00626DB7" w:rsidRDefault="00626DB7" w:rsidP="004E664F"/>
        </w:tc>
        <w:tc>
          <w:tcPr>
            <w:tcW w:w="1276" w:type="dxa"/>
          </w:tcPr>
          <w:p w14:paraId="678C069E" w14:textId="77777777" w:rsidR="00626DB7" w:rsidRPr="00626DB7" w:rsidRDefault="00626DB7" w:rsidP="004E664F"/>
        </w:tc>
        <w:tc>
          <w:tcPr>
            <w:tcW w:w="1102" w:type="dxa"/>
          </w:tcPr>
          <w:p w14:paraId="01E6D5E9" w14:textId="77777777" w:rsidR="00626DB7" w:rsidRPr="00626DB7" w:rsidRDefault="00626DB7" w:rsidP="004E664F"/>
        </w:tc>
        <w:tc>
          <w:tcPr>
            <w:tcW w:w="1170" w:type="dxa"/>
          </w:tcPr>
          <w:p w14:paraId="0FA8FE73" w14:textId="77777777" w:rsidR="00626DB7" w:rsidRPr="00626DB7" w:rsidRDefault="00626DB7" w:rsidP="004E664F"/>
        </w:tc>
        <w:tc>
          <w:tcPr>
            <w:tcW w:w="1170" w:type="dxa"/>
          </w:tcPr>
          <w:p w14:paraId="61363B19" w14:textId="77777777" w:rsidR="00626DB7" w:rsidRPr="00626DB7" w:rsidRDefault="00626DB7" w:rsidP="004E664F"/>
        </w:tc>
        <w:tc>
          <w:tcPr>
            <w:tcW w:w="1236" w:type="dxa"/>
          </w:tcPr>
          <w:p w14:paraId="78861D33" w14:textId="77777777" w:rsidR="00626DB7" w:rsidRPr="00626DB7" w:rsidRDefault="00626DB7" w:rsidP="004E664F"/>
        </w:tc>
        <w:tc>
          <w:tcPr>
            <w:tcW w:w="1134" w:type="dxa"/>
          </w:tcPr>
          <w:p w14:paraId="4C1B15AD" w14:textId="77777777" w:rsidR="00626DB7" w:rsidRPr="00626DB7" w:rsidRDefault="00626DB7" w:rsidP="004E664F"/>
        </w:tc>
        <w:tc>
          <w:tcPr>
            <w:tcW w:w="1410" w:type="dxa"/>
          </w:tcPr>
          <w:p w14:paraId="461B7A45" w14:textId="77777777" w:rsidR="00626DB7" w:rsidRPr="00626DB7" w:rsidRDefault="00626DB7" w:rsidP="004E664F"/>
        </w:tc>
        <w:tc>
          <w:tcPr>
            <w:tcW w:w="1170" w:type="dxa"/>
          </w:tcPr>
          <w:p w14:paraId="272E7C8A" w14:textId="77777777" w:rsidR="00626DB7" w:rsidRPr="00626DB7" w:rsidRDefault="00626DB7" w:rsidP="004E664F"/>
        </w:tc>
        <w:tc>
          <w:tcPr>
            <w:tcW w:w="1170" w:type="dxa"/>
          </w:tcPr>
          <w:p w14:paraId="3D6C7AF2" w14:textId="77777777" w:rsidR="00626DB7" w:rsidRPr="00626DB7" w:rsidRDefault="00626DB7" w:rsidP="004E664F"/>
        </w:tc>
        <w:tc>
          <w:tcPr>
            <w:tcW w:w="1440" w:type="dxa"/>
          </w:tcPr>
          <w:p w14:paraId="05B57454" w14:textId="77777777" w:rsidR="00626DB7" w:rsidRPr="00626DB7" w:rsidRDefault="00626DB7" w:rsidP="004E664F"/>
        </w:tc>
        <w:tc>
          <w:tcPr>
            <w:tcW w:w="810" w:type="dxa"/>
          </w:tcPr>
          <w:p w14:paraId="1D3C68E6" w14:textId="77777777" w:rsidR="00626DB7" w:rsidRPr="00626DB7" w:rsidRDefault="00626DB7" w:rsidP="004E664F"/>
        </w:tc>
        <w:tc>
          <w:tcPr>
            <w:tcW w:w="810" w:type="dxa"/>
          </w:tcPr>
          <w:p w14:paraId="319103BE" w14:textId="77777777" w:rsidR="00626DB7" w:rsidRPr="00626DB7" w:rsidRDefault="00626DB7" w:rsidP="004E664F"/>
        </w:tc>
      </w:tr>
    </w:tbl>
    <w:p w14:paraId="4E5E83C6" w14:textId="77777777" w:rsidR="00874950" w:rsidRPr="00740CC9" w:rsidRDefault="00874950" w:rsidP="00874950"/>
    <w:p w14:paraId="1AF217FA" w14:textId="77777777" w:rsidR="002D282D" w:rsidRPr="00740CC9" w:rsidRDefault="002D282D" w:rsidP="000E2189">
      <w:pPr>
        <w:spacing w:after="0"/>
      </w:pPr>
    </w:p>
    <w:p w14:paraId="71383EF6" w14:textId="77777777" w:rsidR="0055188A" w:rsidRDefault="0055188A" w:rsidP="0055188A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15D46093" w14:textId="77777777" w:rsidR="0055188A" w:rsidRDefault="0055188A" w:rsidP="0055188A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DAF3A84" w14:textId="70C6B3D1" w:rsidR="006F3F45" w:rsidRPr="00740CC9" w:rsidRDefault="0055188A" w:rsidP="0055188A">
      <w:pPr>
        <w:spacing w:after="0"/>
        <w:jc w:val="center"/>
      </w:pPr>
      <w:hyperlink r:id="rId10" w:history="1">
        <w:r w:rsidRPr="00B724EE">
          <w:rPr>
            <w:rStyle w:val="Hiperveza"/>
          </w:rPr>
          <w:t>http://advisera.com/9001academy/es/documentation/inventario-de-reclamos-de-clientes/</w:t>
        </w:r>
      </w:hyperlink>
      <w:r>
        <w:t xml:space="preserve"> </w:t>
      </w:r>
      <w:bookmarkStart w:id="3" w:name="_GoBack"/>
      <w:bookmarkEnd w:id="3"/>
    </w:p>
    <w:sectPr w:rsidR="006F3F45" w:rsidRPr="00740CC9" w:rsidSect="00626DB7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06:00Z" w:initials="9A">
    <w:p w14:paraId="5FAA2A1C" w14:textId="4AF8A35F" w:rsidR="007D23A4" w:rsidRPr="00AA67AE" w:rsidRDefault="007D23A4">
      <w:pPr>
        <w:pStyle w:val="Tekstkomentara"/>
        <w:rPr>
          <w:lang w:val="es-AR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6-05-03T19:34:00Z" w:initials="9A">
    <w:p w14:paraId="1887E736" w14:textId="4B08F9F4" w:rsidR="007D23A4" w:rsidRDefault="007D23A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Cuando se envían reclamos menores, </w:t>
      </w:r>
      <w:r w:rsidR="0055188A">
        <w:t>…</w:t>
      </w:r>
    </w:p>
  </w:comment>
  <w:comment w:id="2" w:author="9001Academy" w:date="2014-04-26T20:07:00Z" w:initials="9A">
    <w:p w14:paraId="5BBB3BD3" w14:textId="5314F3CA" w:rsidR="007D23A4" w:rsidRDefault="007D23A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Plazo para resolver el reclamo.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64B630" w15:done="0"/>
  <w15:commentEx w15:paraId="70AE4047" w15:done="0"/>
  <w15:commentEx w15:paraId="67E4D2C2" w15:done="0"/>
  <w15:commentEx w15:paraId="50765D21" w15:done="0"/>
  <w15:commentEx w15:paraId="67DF901B" w15:done="0"/>
  <w15:commentEx w15:paraId="06A842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4433D" w14:textId="77777777" w:rsidR="00E56DEF" w:rsidRDefault="00E56DEF" w:rsidP="00CE6770">
      <w:pPr>
        <w:spacing w:after="0" w:line="240" w:lineRule="auto"/>
      </w:pPr>
      <w:r>
        <w:separator/>
      </w:r>
    </w:p>
  </w:endnote>
  <w:endnote w:type="continuationSeparator" w:id="0">
    <w:p w14:paraId="58472BD5" w14:textId="77777777" w:rsidR="00E56DEF" w:rsidRDefault="00E56DE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87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626"/>
      <w:gridCol w:w="4626"/>
      <w:gridCol w:w="4626"/>
    </w:tblGrid>
    <w:tr w:rsidR="006D3B29" w:rsidRPr="00EB7391" w14:paraId="72F98D72" w14:textId="77777777" w:rsidTr="00626DB7">
      <w:tc>
        <w:tcPr>
          <w:tcW w:w="4626" w:type="dxa"/>
        </w:tcPr>
        <w:p w14:paraId="39711FF8" w14:textId="50E77FD0" w:rsidR="006D3B29" w:rsidRPr="009E5C48" w:rsidRDefault="00F86FD2" w:rsidP="00CB3B05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2 –</w:t>
          </w:r>
          <w:r w:rsidR="00E53C4B">
            <w:rPr>
              <w:sz w:val="18"/>
            </w:rPr>
            <w:t xml:space="preserve"> Inventario de reclamos de clientes</w:t>
          </w:r>
          <w:r w:rsidR="00937044">
            <w:rPr>
              <w:sz w:val="18"/>
            </w:rPr>
            <w:t xml:space="preserve"> </w:t>
          </w:r>
          <w:r w:rsidR="00937044" w:rsidRPr="00937044">
            <w:rPr>
              <w:sz w:val="18"/>
            </w:rPr>
            <w:t>y partes interesadas</w:t>
          </w:r>
        </w:p>
      </w:tc>
      <w:tc>
        <w:tcPr>
          <w:tcW w:w="4626" w:type="dxa"/>
        </w:tcPr>
        <w:p w14:paraId="43E4485B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626" w:type="dxa"/>
        </w:tcPr>
        <w:p w14:paraId="27B8AE0A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20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20187" w:rsidRPr="00EB7391">
            <w:rPr>
              <w:b/>
              <w:sz w:val="18"/>
            </w:rPr>
            <w:fldChar w:fldCharType="separate"/>
          </w:r>
          <w:r w:rsidR="0055188A">
            <w:rPr>
              <w:b/>
              <w:noProof/>
              <w:sz w:val="18"/>
            </w:rPr>
            <w:t>1</w:t>
          </w:r>
          <w:r w:rsidR="0052018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20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20187" w:rsidRPr="00EB7391">
            <w:rPr>
              <w:b/>
              <w:sz w:val="18"/>
            </w:rPr>
            <w:fldChar w:fldCharType="separate"/>
          </w:r>
          <w:r w:rsidR="0055188A">
            <w:rPr>
              <w:b/>
              <w:noProof/>
              <w:sz w:val="18"/>
            </w:rPr>
            <w:t>1</w:t>
          </w:r>
          <w:r w:rsidR="00520187" w:rsidRPr="00EB7391">
            <w:rPr>
              <w:b/>
              <w:sz w:val="18"/>
            </w:rPr>
            <w:fldChar w:fldCharType="end"/>
          </w:r>
        </w:p>
      </w:tc>
    </w:tr>
  </w:tbl>
  <w:p w14:paraId="6AB44A1E" w14:textId="7A322612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C2A26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520D3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4FB5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2333C" w14:textId="77777777" w:rsidR="00E56DEF" w:rsidRDefault="00E56DEF" w:rsidP="00CE6770">
      <w:pPr>
        <w:spacing w:after="0" w:line="240" w:lineRule="auto"/>
      </w:pPr>
      <w:r>
        <w:separator/>
      </w:r>
    </w:p>
  </w:footnote>
  <w:footnote w:type="continuationSeparator" w:id="0">
    <w:p w14:paraId="68315666" w14:textId="77777777" w:rsidR="00E56DEF" w:rsidRDefault="00E56DE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32"/>
      <w:gridCol w:w="3841"/>
    </w:tblGrid>
    <w:tr w:rsidR="006D3B29" w:rsidRPr="006571EC" w14:paraId="0FA06E58" w14:textId="77777777" w:rsidTr="00626DB7">
      <w:trPr>
        <w:trHeight w:val="321"/>
      </w:trPr>
      <w:tc>
        <w:tcPr>
          <w:tcW w:w="10332" w:type="dxa"/>
        </w:tcPr>
        <w:p w14:paraId="3E77FB51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3841" w:type="dxa"/>
        </w:tcPr>
        <w:p w14:paraId="1BF1358F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8B5CCB6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2EBB"/>
    <w:rsid w:val="00033A59"/>
    <w:rsid w:val="00040E0E"/>
    <w:rsid w:val="0004319E"/>
    <w:rsid w:val="000514AD"/>
    <w:rsid w:val="0005546F"/>
    <w:rsid w:val="00056C44"/>
    <w:rsid w:val="000A7661"/>
    <w:rsid w:val="000D1D25"/>
    <w:rsid w:val="000E2189"/>
    <w:rsid w:val="00103C93"/>
    <w:rsid w:val="00104033"/>
    <w:rsid w:val="001046DB"/>
    <w:rsid w:val="00111FB7"/>
    <w:rsid w:val="0011356A"/>
    <w:rsid w:val="00127E25"/>
    <w:rsid w:val="001330C2"/>
    <w:rsid w:val="001544DE"/>
    <w:rsid w:val="00162726"/>
    <w:rsid w:val="00170425"/>
    <w:rsid w:val="00176250"/>
    <w:rsid w:val="001A7047"/>
    <w:rsid w:val="001B110D"/>
    <w:rsid w:val="001B12F9"/>
    <w:rsid w:val="00200DD6"/>
    <w:rsid w:val="00204E47"/>
    <w:rsid w:val="00241F1F"/>
    <w:rsid w:val="00285240"/>
    <w:rsid w:val="00295C17"/>
    <w:rsid w:val="00297C27"/>
    <w:rsid w:val="002B0F87"/>
    <w:rsid w:val="002C372C"/>
    <w:rsid w:val="002D282D"/>
    <w:rsid w:val="002D2B4E"/>
    <w:rsid w:val="002F0A50"/>
    <w:rsid w:val="002F10F8"/>
    <w:rsid w:val="00332835"/>
    <w:rsid w:val="0033701C"/>
    <w:rsid w:val="003414DA"/>
    <w:rsid w:val="00355B1D"/>
    <w:rsid w:val="003740D5"/>
    <w:rsid w:val="003A7DCA"/>
    <w:rsid w:val="003D381A"/>
    <w:rsid w:val="003F3F9A"/>
    <w:rsid w:val="003F51E4"/>
    <w:rsid w:val="00402095"/>
    <w:rsid w:val="00402311"/>
    <w:rsid w:val="00413F1F"/>
    <w:rsid w:val="00431C83"/>
    <w:rsid w:val="00437421"/>
    <w:rsid w:val="00482AEB"/>
    <w:rsid w:val="004C1D36"/>
    <w:rsid w:val="00503C2C"/>
    <w:rsid w:val="00520187"/>
    <w:rsid w:val="005204E3"/>
    <w:rsid w:val="00527DD2"/>
    <w:rsid w:val="005357F2"/>
    <w:rsid w:val="005419B7"/>
    <w:rsid w:val="0055188A"/>
    <w:rsid w:val="00551FD4"/>
    <w:rsid w:val="005763D5"/>
    <w:rsid w:val="00584525"/>
    <w:rsid w:val="005966D7"/>
    <w:rsid w:val="005A60AC"/>
    <w:rsid w:val="005E653C"/>
    <w:rsid w:val="0062169F"/>
    <w:rsid w:val="00626DB7"/>
    <w:rsid w:val="006300F1"/>
    <w:rsid w:val="006413FA"/>
    <w:rsid w:val="006520D3"/>
    <w:rsid w:val="00687B12"/>
    <w:rsid w:val="00693729"/>
    <w:rsid w:val="006C2A26"/>
    <w:rsid w:val="006D3B29"/>
    <w:rsid w:val="006D5C5F"/>
    <w:rsid w:val="006E3A33"/>
    <w:rsid w:val="006F3F45"/>
    <w:rsid w:val="00732AA5"/>
    <w:rsid w:val="00740CC9"/>
    <w:rsid w:val="00750BD0"/>
    <w:rsid w:val="00756B1B"/>
    <w:rsid w:val="00757E33"/>
    <w:rsid w:val="00767EFD"/>
    <w:rsid w:val="00771001"/>
    <w:rsid w:val="00777C3B"/>
    <w:rsid w:val="00790899"/>
    <w:rsid w:val="007939AC"/>
    <w:rsid w:val="0079441A"/>
    <w:rsid w:val="00794E4E"/>
    <w:rsid w:val="007C7897"/>
    <w:rsid w:val="007D23A4"/>
    <w:rsid w:val="007F67CD"/>
    <w:rsid w:val="00807E31"/>
    <w:rsid w:val="00830882"/>
    <w:rsid w:val="008343CA"/>
    <w:rsid w:val="0084140C"/>
    <w:rsid w:val="00851B45"/>
    <w:rsid w:val="008620A7"/>
    <w:rsid w:val="008645DF"/>
    <w:rsid w:val="00871A42"/>
    <w:rsid w:val="00874950"/>
    <w:rsid w:val="00874AF9"/>
    <w:rsid w:val="00883471"/>
    <w:rsid w:val="008B4E94"/>
    <w:rsid w:val="008C0E0C"/>
    <w:rsid w:val="008C2C4D"/>
    <w:rsid w:val="008D76E6"/>
    <w:rsid w:val="008E0A60"/>
    <w:rsid w:val="008E1A18"/>
    <w:rsid w:val="008F47AC"/>
    <w:rsid w:val="008F5310"/>
    <w:rsid w:val="008F63C0"/>
    <w:rsid w:val="008F6E53"/>
    <w:rsid w:val="008F7EDC"/>
    <w:rsid w:val="00905B1D"/>
    <w:rsid w:val="00927DFD"/>
    <w:rsid w:val="00937044"/>
    <w:rsid w:val="00942F11"/>
    <w:rsid w:val="00975A76"/>
    <w:rsid w:val="009829F1"/>
    <w:rsid w:val="009A0472"/>
    <w:rsid w:val="009D396F"/>
    <w:rsid w:val="009E3486"/>
    <w:rsid w:val="009E4E4A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5704B"/>
    <w:rsid w:val="00A82FCE"/>
    <w:rsid w:val="00AA4CBD"/>
    <w:rsid w:val="00AA6E35"/>
    <w:rsid w:val="00AB212A"/>
    <w:rsid w:val="00AB5676"/>
    <w:rsid w:val="00AD23CB"/>
    <w:rsid w:val="00AE0C7D"/>
    <w:rsid w:val="00B10EC3"/>
    <w:rsid w:val="00B221F5"/>
    <w:rsid w:val="00B511E3"/>
    <w:rsid w:val="00B638BE"/>
    <w:rsid w:val="00BC2BF7"/>
    <w:rsid w:val="00C156EC"/>
    <w:rsid w:val="00C63036"/>
    <w:rsid w:val="00CB3B05"/>
    <w:rsid w:val="00CC780A"/>
    <w:rsid w:val="00CE377C"/>
    <w:rsid w:val="00CE6770"/>
    <w:rsid w:val="00D03BC5"/>
    <w:rsid w:val="00D13DF0"/>
    <w:rsid w:val="00D260A2"/>
    <w:rsid w:val="00D45875"/>
    <w:rsid w:val="00D55D98"/>
    <w:rsid w:val="00D62559"/>
    <w:rsid w:val="00D81569"/>
    <w:rsid w:val="00DA0757"/>
    <w:rsid w:val="00DD4894"/>
    <w:rsid w:val="00E01378"/>
    <w:rsid w:val="00E45441"/>
    <w:rsid w:val="00E5330C"/>
    <w:rsid w:val="00E53C4B"/>
    <w:rsid w:val="00E542A9"/>
    <w:rsid w:val="00E56499"/>
    <w:rsid w:val="00E56DEF"/>
    <w:rsid w:val="00E60C13"/>
    <w:rsid w:val="00E83F00"/>
    <w:rsid w:val="00EB7391"/>
    <w:rsid w:val="00EC6FA7"/>
    <w:rsid w:val="00ED07E0"/>
    <w:rsid w:val="00EE19DA"/>
    <w:rsid w:val="00EE1F48"/>
    <w:rsid w:val="00F0751D"/>
    <w:rsid w:val="00F122AB"/>
    <w:rsid w:val="00F23393"/>
    <w:rsid w:val="00F26F3C"/>
    <w:rsid w:val="00F34081"/>
    <w:rsid w:val="00F37138"/>
    <w:rsid w:val="00F80D00"/>
    <w:rsid w:val="00F86FD2"/>
    <w:rsid w:val="00FA2B1E"/>
    <w:rsid w:val="00FA6E49"/>
    <w:rsid w:val="00FC6339"/>
    <w:rsid w:val="00FC6509"/>
    <w:rsid w:val="00FD00B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EE4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7D23A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inventario-de-reclamos-de-client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D3E44-FC73-4C54-A7A3-7BCBB85B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Inventario de reclamos de clientes y partes interesadas</vt:lpstr>
      <vt:lpstr>Apéndice 2 – Inventario de reclamos de clientes</vt:lpstr>
      <vt:lpstr>Apéndice 2 – Inventario de reclamos de clientes</vt:lpstr>
    </vt:vector>
  </TitlesOfParts>
  <Manager/>
  <Company>EPPS Services Ltd</Company>
  <LinksUpToDate>false</LinksUpToDate>
  <CharactersWithSpaces>658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Inventario de reclamos de clientes y partes interesadas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2014-03-26T11:52:00Z</dcterms:created>
  <dcterms:modified xsi:type="dcterms:W3CDTF">2016-05-03T17:35:00Z</dcterms:modified>
  <cp:category/>
</cp:coreProperties>
</file>