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D5C4D" w14:textId="77777777" w:rsidR="00E33A47" w:rsidRPr="00C1630C" w:rsidRDefault="00E33A47"/>
    <w:p w14:paraId="745AD188" w14:textId="4903FA60" w:rsidR="00927DFD" w:rsidRPr="00C1630C" w:rsidRDefault="007D34CB" w:rsidP="007D34CB">
      <w:pPr>
        <w:jc w:val="center"/>
      </w:pPr>
      <w:r w:rsidRPr="00175F7D">
        <w:rPr>
          <w:lang w:eastAsia="en-US"/>
        </w:rPr>
        <w:t>** VERSIÓN DE MUESTRA GRATIS **</w:t>
      </w:r>
    </w:p>
    <w:p w14:paraId="5B254D42" w14:textId="77777777" w:rsidR="00927DFD" w:rsidRPr="00C1630C" w:rsidRDefault="00927DFD"/>
    <w:p w14:paraId="4111CABF" w14:textId="77777777" w:rsidR="00927DFD" w:rsidRPr="00C1630C" w:rsidRDefault="00927DFD"/>
    <w:p w14:paraId="629BDF32" w14:textId="77777777" w:rsidR="00927DFD" w:rsidRPr="00C1630C" w:rsidRDefault="00927DFD"/>
    <w:p w14:paraId="10CE6AE4" w14:textId="77777777" w:rsidR="00AF3843" w:rsidRPr="00C1630C" w:rsidRDefault="00AF3843"/>
    <w:p w14:paraId="59E76B9E" w14:textId="77777777" w:rsidR="00AF3843" w:rsidRPr="00C1630C" w:rsidRDefault="00AF3843" w:rsidP="00AF3843">
      <w:pPr>
        <w:jc w:val="center"/>
      </w:pPr>
      <w:r>
        <w:t>[</w:t>
      </w:r>
      <w:commentRangeStart w:id="0"/>
      <w:proofErr w:type="gramStart"/>
      <w:r>
        <w:t>logo</w:t>
      </w:r>
      <w:proofErr w:type="gramEnd"/>
      <w:r>
        <w:t xml:space="preserve"> de la organización</w:t>
      </w:r>
      <w:commentRangeEnd w:id="0"/>
      <w:r w:rsidR="001E6646">
        <w:rPr>
          <w:rStyle w:val="Referencakomentara"/>
        </w:rPr>
        <w:commentReference w:id="0"/>
      </w:r>
      <w:r>
        <w:t>]</w:t>
      </w:r>
    </w:p>
    <w:p w14:paraId="1E186E7B" w14:textId="77777777" w:rsidR="00AF3843" w:rsidRPr="00C1630C" w:rsidRDefault="00CB1D44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2A53359C" w14:textId="77777777" w:rsidR="00AF3843" w:rsidRPr="00C1630C" w:rsidRDefault="00AF3843" w:rsidP="00AF3843">
      <w:pPr>
        <w:jc w:val="center"/>
      </w:pPr>
    </w:p>
    <w:p w14:paraId="553C5BBE" w14:textId="79DADFBB" w:rsidR="00AF3843" w:rsidRDefault="009518BE" w:rsidP="00AF3843">
      <w:pPr>
        <w:jc w:val="center"/>
        <w:rPr>
          <w:b/>
          <w:sz w:val="32"/>
        </w:rPr>
      </w:pPr>
      <w:r w:rsidRPr="009518BE">
        <w:rPr>
          <w:b/>
          <w:sz w:val="32"/>
        </w:rPr>
        <w:t xml:space="preserve">PLAN DE PREPARACIÓN Y RESPUESTA </w:t>
      </w:r>
      <w:r w:rsidR="00F45A26">
        <w:rPr>
          <w:b/>
          <w:sz w:val="32"/>
        </w:rPr>
        <w:t>ANTE</w:t>
      </w:r>
      <w:r w:rsidRPr="009518BE">
        <w:rPr>
          <w:b/>
          <w:sz w:val="32"/>
        </w:rPr>
        <w:t xml:space="preserve"> EMERGENCIA</w:t>
      </w:r>
      <w:r w:rsidR="00F45A26">
        <w:rPr>
          <w:b/>
          <w:sz w:val="32"/>
        </w:rPr>
        <w:t>S</w:t>
      </w:r>
      <w:r w:rsidRPr="009518BE">
        <w:rPr>
          <w:b/>
          <w:sz w:val="32"/>
        </w:rPr>
        <w:t xml:space="preserve"> </w:t>
      </w:r>
      <w:r w:rsidR="00F45A26">
        <w:rPr>
          <w:b/>
          <w:sz w:val="32"/>
        </w:rPr>
        <w:t>PARA</w:t>
      </w:r>
      <w:r w:rsidRPr="009518BE">
        <w:rPr>
          <w:b/>
          <w:sz w:val="32"/>
        </w:rPr>
        <w:t xml:space="preserve"> </w:t>
      </w:r>
      <w:r w:rsidR="00F45A26">
        <w:rPr>
          <w:b/>
          <w:sz w:val="32"/>
        </w:rPr>
        <w:t xml:space="preserve">FUEGO </w:t>
      </w:r>
    </w:p>
    <w:p w14:paraId="7F59F818" w14:textId="77777777" w:rsidR="001E6646" w:rsidRPr="009518BE" w:rsidRDefault="001E6646" w:rsidP="00AF3843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C1630C" w14:paraId="3B6E2730" w14:textId="77777777" w:rsidTr="006571EC">
        <w:tc>
          <w:tcPr>
            <w:tcW w:w="2376" w:type="dxa"/>
          </w:tcPr>
          <w:p w14:paraId="0798591A" w14:textId="77777777" w:rsidR="00AF3843" w:rsidRPr="00C1630C" w:rsidRDefault="00CB1D44" w:rsidP="00CB1D44">
            <w:commentRangeStart w:id="1"/>
            <w:r>
              <w:t>Código:</w:t>
            </w:r>
            <w:commentRangeEnd w:id="1"/>
            <w:r w:rsidR="001E6646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7A9EDC16" w14:textId="77777777" w:rsidR="00AF3843" w:rsidRPr="00C1630C" w:rsidRDefault="00AF3843" w:rsidP="00AF3843"/>
        </w:tc>
      </w:tr>
      <w:tr w:rsidR="00AF3843" w:rsidRPr="00C1630C" w14:paraId="57C6468C" w14:textId="77777777" w:rsidTr="006571EC">
        <w:tc>
          <w:tcPr>
            <w:tcW w:w="2376" w:type="dxa"/>
          </w:tcPr>
          <w:p w14:paraId="0BE22532" w14:textId="77777777" w:rsidR="00AF3843" w:rsidRPr="00C1630C" w:rsidRDefault="00CB1D44" w:rsidP="00ED15C3">
            <w:r>
              <w:t>Versión:</w:t>
            </w:r>
          </w:p>
        </w:tc>
        <w:tc>
          <w:tcPr>
            <w:tcW w:w="6912" w:type="dxa"/>
          </w:tcPr>
          <w:p w14:paraId="7DB9B0F3" w14:textId="77777777" w:rsidR="00AF3843" w:rsidRPr="00C1630C" w:rsidRDefault="00AF3843" w:rsidP="00AF3843"/>
        </w:tc>
      </w:tr>
      <w:tr w:rsidR="00AF3843" w:rsidRPr="00C1630C" w14:paraId="5C192BF5" w14:textId="77777777" w:rsidTr="006571EC">
        <w:tc>
          <w:tcPr>
            <w:tcW w:w="2376" w:type="dxa"/>
          </w:tcPr>
          <w:p w14:paraId="6C8D54D4" w14:textId="77777777" w:rsidR="00AF3843" w:rsidRPr="00C1630C" w:rsidRDefault="00CB1D44" w:rsidP="00AF3843">
            <w:r>
              <w:t>Fecha de la versión:</w:t>
            </w:r>
          </w:p>
        </w:tc>
        <w:tc>
          <w:tcPr>
            <w:tcW w:w="6912" w:type="dxa"/>
          </w:tcPr>
          <w:p w14:paraId="04FC3F68" w14:textId="77777777" w:rsidR="00AF3843" w:rsidRPr="00C1630C" w:rsidRDefault="00AF3843" w:rsidP="00AF3843"/>
        </w:tc>
      </w:tr>
      <w:tr w:rsidR="00AF3843" w:rsidRPr="00C1630C" w14:paraId="52736814" w14:textId="77777777" w:rsidTr="006571EC">
        <w:tc>
          <w:tcPr>
            <w:tcW w:w="2376" w:type="dxa"/>
          </w:tcPr>
          <w:p w14:paraId="4CB8322A" w14:textId="77777777" w:rsidR="00AF3843" w:rsidRPr="00C1630C" w:rsidRDefault="00CB1D44" w:rsidP="00AF3843">
            <w:r>
              <w:t>Creado por:</w:t>
            </w:r>
          </w:p>
        </w:tc>
        <w:tc>
          <w:tcPr>
            <w:tcW w:w="6912" w:type="dxa"/>
          </w:tcPr>
          <w:p w14:paraId="51695F21" w14:textId="77777777" w:rsidR="00AF3843" w:rsidRPr="00C1630C" w:rsidRDefault="00AF3843" w:rsidP="00AF3843"/>
        </w:tc>
      </w:tr>
      <w:tr w:rsidR="00AF3843" w:rsidRPr="00C1630C" w14:paraId="4834FA13" w14:textId="77777777" w:rsidTr="006571EC">
        <w:tc>
          <w:tcPr>
            <w:tcW w:w="2376" w:type="dxa"/>
          </w:tcPr>
          <w:p w14:paraId="306CA11B" w14:textId="77777777" w:rsidR="00AF3843" w:rsidRPr="00C1630C" w:rsidRDefault="00CB1D44" w:rsidP="00AF3843">
            <w:r>
              <w:t>Aprobado por:</w:t>
            </w:r>
          </w:p>
        </w:tc>
        <w:tc>
          <w:tcPr>
            <w:tcW w:w="6912" w:type="dxa"/>
          </w:tcPr>
          <w:p w14:paraId="526D5A7B" w14:textId="77777777" w:rsidR="00AF3843" w:rsidRPr="00C1630C" w:rsidRDefault="00AF3843" w:rsidP="00AF3843"/>
        </w:tc>
      </w:tr>
      <w:tr w:rsidR="00AF3843" w:rsidRPr="00C1630C" w14:paraId="5396EF00" w14:textId="77777777" w:rsidTr="006571EC">
        <w:tc>
          <w:tcPr>
            <w:tcW w:w="2376" w:type="dxa"/>
          </w:tcPr>
          <w:p w14:paraId="336A7921" w14:textId="77777777" w:rsidR="00AF3843" w:rsidRPr="00C1630C" w:rsidRDefault="00CB1D44" w:rsidP="00AF3843">
            <w:r>
              <w:t>Confidencialidad:</w:t>
            </w:r>
          </w:p>
        </w:tc>
        <w:tc>
          <w:tcPr>
            <w:tcW w:w="6912" w:type="dxa"/>
          </w:tcPr>
          <w:p w14:paraId="16B5B2BE" w14:textId="77777777" w:rsidR="00AF3843" w:rsidRPr="00C1630C" w:rsidRDefault="00AF3843" w:rsidP="00AF3843"/>
        </w:tc>
      </w:tr>
    </w:tbl>
    <w:p w14:paraId="605BB3E1" w14:textId="77777777" w:rsidR="00AF3843" w:rsidRPr="00C1630C" w:rsidRDefault="00AF3843" w:rsidP="00F961E0"/>
    <w:p w14:paraId="3910B99F" w14:textId="77777777" w:rsidR="00F961E0" w:rsidRPr="00C1630C" w:rsidRDefault="00F961E0" w:rsidP="00F961E0"/>
    <w:p w14:paraId="51ADDE67" w14:textId="77777777" w:rsidR="00C16301" w:rsidRPr="00C1630C" w:rsidRDefault="005721AA" w:rsidP="00C16301">
      <w:pPr>
        <w:rPr>
          <w:b/>
          <w:sz w:val="28"/>
          <w:szCs w:val="28"/>
        </w:rPr>
      </w:pPr>
      <w:commentRangeStart w:id="2"/>
      <w:r>
        <w:rPr>
          <w:b/>
          <w:sz w:val="28"/>
        </w:rPr>
        <w:t>Lista de distribución</w:t>
      </w:r>
      <w:commentRangeEnd w:id="2"/>
      <w:r w:rsidR="001E6646">
        <w:rPr>
          <w:rStyle w:val="Referencakomentara"/>
        </w:rPr>
        <w:commentReference w:id="2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C16301" w:rsidRPr="00C1630C" w14:paraId="736340A2" w14:textId="77777777" w:rsidTr="00AA5B98">
        <w:tc>
          <w:tcPr>
            <w:tcW w:w="761" w:type="dxa"/>
            <w:vMerge w:val="restart"/>
            <w:vAlign w:val="center"/>
          </w:tcPr>
          <w:p w14:paraId="163A06DD" w14:textId="77777777" w:rsidR="00C16301" w:rsidRPr="00C1630C" w:rsidRDefault="005721AA" w:rsidP="00AA5B98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4B25FFE9" w14:textId="77777777" w:rsidR="00C16301" w:rsidRPr="00C1630C" w:rsidRDefault="005721AA" w:rsidP="00AA5B98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BD76D42" w14:textId="77777777" w:rsidR="00C16301" w:rsidRPr="00C1630C" w:rsidRDefault="005721AA" w:rsidP="00AA5B98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28727C2" w14:textId="77777777" w:rsidR="00C16301" w:rsidRPr="00C1630C" w:rsidRDefault="005721AA" w:rsidP="00AA5B98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60D32D0" w14:textId="77777777" w:rsidR="00C16301" w:rsidRPr="00C1630C" w:rsidRDefault="005721AA" w:rsidP="00AA5B98">
            <w:pPr>
              <w:spacing w:after="0"/>
              <w:ind w:left="108"/>
            </w:pPr>
            <w:r>
              <w:t>Devuelta</w:t>
            </w:r>
          </w:p>
        </w:tc>
      </w:tr>
      <w:tr w:rsidR="00C16301" w:rsidRPr="00C1630C" w14:paraId="52C9F90C" w14:textId="77777777" w:rsidTr="00AA5B98">
        <w:tc>
          <w:tcPr>
            <w:tcW w:w="761" w:type="dxa"/>
            <w:vMerge/>
          </w:tcPr>
          <w:p w14:paraId="41B3766C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1CD2D28C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EE3F902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AD4ABBF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BCDBF69" w14:textId="77777777" w:rsidR="00C16301" w:rsidRPr="00C1630C" w:rsidRDefault="005721AA" w:rsidP="00AA5B98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1F351742" w14:textId="77777777" w:rsidR="00C16301" w:rsidRPr="00C1630C" w:rsidRDefault="005721AA" w:rsidP="00AA5B98">
            <w:pPr>
              <w:spacing w:after="0"/>
              <w:ind w:left="90"/>
            </w:pPr>
            <w:r>
              <w:t>Firma</w:t>
            </w:r>
          </w:p>
        </w:tc>
      </w:tr>
      <w:tr w:rsidR="00C16301" w:rsidRPr="00C1630C" w14:paraId="11B64E3C" w14:textId="77777777" w:rsidTr="00AA5B98">
        <w:tc>
          <w:tcPr>
            <w:tcW w:w="761" w:type="dxa"/>
          </w:tcPr>
          <w:p w14:paraId="2964126F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F23F454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16129B6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789F3E0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25D9A29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F0032B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</w:tr>
      <w:tr w:rsidR="00C16301" w:rsidRPr="00C1630C" w14:paraId="0CC049DA" w14:textId="77777777" w:rsidTr="00AA5B98">
        <w:tc>
          <w:tcPr>
            <w:tcW w:w="761" w:type="dxa"/>
          </w:tcPr>
          <w:p w14:paraId="19E3FD76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A7F4B0B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06EC128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F50568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9DD3382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60DDC10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</w:tr>
      <w:tr w:rsidR="00C16301" w:rsidRPr="00C1630C" w14:paraId="6583036C" w14:textId="77777777" w:rsidTr="00AA5B98">
        <w:tc>
          <w:tcPr>
            <w:tcW w:w="761" w:type="dxa"/>
          </w:tcPr>
          <w:p w14:paraId="47DDE35F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6688FAD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45CA35C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0F3CD26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41204A4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48FF9E" w14:textId="77777777" w:rsidR="00C16301" w:rsidRPr="00C1630C" w:rsidRDefault="00C16301" w:rsidP="00AA5B98">
            <w:pPr>
              <w:spacing w:after="0"/>
              <w:ind w:left="360"/>
              <w:outlineLvl w:val="0"/>
            </w:pPr>
          </w:p>
        </w:tc>
      </w:tr>
    </w:tbl>
    <w:p w14:paraId="6E273AD2" w14:textId="77777777" w:rsidR="00F961E0" w:rsidRPr="00C1630C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DB37F7" w:rsidRPr="00C1630C" w14:paraId="1B3AA271" w14:textId="77777777" w:rsidTr="006571EC">
        <w:tc>
          <w:tcPr>
            <w:tcW w:w="1384" w:type="dxa"/>
          </w:tcPr>
          <w:p w14:paraId="72087C67" w14:textId="77777777" w:rsidR="00DB37F7" w:rsidRPr="00C1630C" w:rsidRDefault="005721AA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A996DD5" w14:textId="77777777" w:rsidR="00DB37F7" w:rsidRPr="00C1630C" w:rsidRDefault="005721AA" w:rsidP="00F961E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B176C4D" w14:textId="77777777" w:rsidR="00DB37F7" w:rsidRPr="00C1630C" w:rsidRDefault="005721AA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4CA2C3B4" w14:textId="77777777" w:rsidR="00DB37F7" w:rsidRPr="00C1630C" w:rsidRDefault="005721AA" w:rsidP="00F961E0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971FD" w:rsidRPr="00C1630C" w14:paraId="6D3DB36E" w14:textId="77777777" w:rsidTr="006571EC">
        <w:tc>
          <w:tcPr>
            <w:tcW w:w="1384" w:type="dxa"/>
          </w:tcPr>
          <w:p w14:paraId="3376788E" w14:textId="77777777" w:rsidR="00B971FD" w:rsidRPr="00C1630C" w:rsidRDefault="00B971FD" w:rsidP="00F346D8"/>
        </w:tc>
        <w:tc>
          <w:tcPr>
            <w:tcW w:w="992" w:type="dxa"/>
          </w:tcPr>
          <w:p w14:paraId="62FBBF91" w14:textId="0FED0B6A" w:rsidR="00B971FD" w:rsidRPr="00C1630C" w:rsidRDefault="009518BE" w:rsidP="00F346D8">
            <w:r>
              <w:t>0.1</w:t>
            </w:r>
          </w:p>
        </w:tc>
        <w:tc>
          <w:tcPr>
            <w:tcW w:w="1560" w:type="dxa"/>
          </w:tcPr>
          <w:p w14:paraId="6EF111AA" w14:textId="46C9EA57" w:rsidR="00B971FD" w:rsidRPr="00C1630C" w:rsidRDefault="00F45A26" w:rsidP="00F346D8">
            <w:r>
              <w:t>9</w:t>
            </w:r>
            <w:r w:rsidR="009518BE">
              <w:t>001Academy</w:t>
            </w:r>
          </w:p>
        </w:tc>
        <w:tc>
          <w:tcPr>
            <w:tcW w:w="5352" w:type="dxa"/>
          </w:tcPr>
          <w:p w14:paraId="313F877E" w14:textId="1BE58E55" w:rsidR="00B971FD" w:rsidRPr="00C1630C" w:rsidRDefault="009518BE" w:rsidP="00603B01">
            <w:r>
              <w:t>Descripción básica del documento</w:t>
            </w:r>
          </w:p>
        </w:tc>
      </w:tr>
      <w:tr w:rsidR="00DB37F7" w:rsidRPr="00C1630C" w14:paraId="47BA42C0" w14:textId="77777777" w:rsidTr="006571EC">
        <w:tc>
          <w:tcPr>
            <w:tcW w:w="1384" w:type="dxa"/>
          </w:tcPr>
          <w:p w14:paraId="731967D0" w14:textId="77777777" w:rsidR="00DB37F7" w:rsidRPr="00C1630C" w:rsidRDefault="00DB37F7" w:rsidP="00F961E0"/>
        </w:tc>
        <w:tc>
          <w:tcPr>
            <w:tcW w:w="992" w:type="dxa"/>
          </w:tcPr>
          <w:p w14:paraId="30B08349" w14:textId="77777777" w:rsidR="00DB37F7" w:rsidRPr="00C1630C" w:rsidRDefault="00DB37F7" w:rsidP="00F961E0"/>
        </w:tc>
        <w:tc>
          <w:tcPr>
            <w:tcW w:w="1560" w:type="dxa"/>
          </w:tcPr>
          <w:p w14:paraId="7EA95092" w14:textId="77777777" w:rsidR="00DB37F7" w:rsidRPr="00C1630C" w:rsidRDefault="00DB37F7" w:rsidP="00F961E0"/>
        </w:tc>
        <w:tc>
          <w:tcPr>
            <w:tcW w:w="5352" w:type="dxa"/>
          </w:tcPr>
          <w:p w14:paraId="4084F510" w14:textId="77777777" w:rsidR="00DB37F7" w:rsidRPr="00C1630C" w:rsidRDefault="00DB37F7" w:rsidP="00F961E0"/>
        </w:tc>
      </w:tr>
      <w:tr w:rsidR="00DB37F7" w:rsidRPr="00C1630C" w14:paraId="4FF5C4FD" w14:textId="77777777" w:rsidTr="006571EC">
        <w:tc>
          <w:tcPr>
            <w:tcW w:w="1384" w:type="dxa"/>
          </w:tcPr>
          <w:p w14:paraId="4F9F94B8" w14:textId="77777777" w:rsidR="00DB37F7" w:rsidRPr="00C1630C" w:rsidRDefault="00DB37F7" w:rsidP="00F961E0"/>
        </w:tc>
        <w:tc>
          <w:tcPr>
            <w:tcW w:w="992" w:type="dxa"/>
          </w:tcPr>
          <w:p w14:paraId="38192FEF" w14:textId="77777777" w:rsidR="00DB37F7" w:rsidRPr="00C1630C" w:rsidRDefault="00DB37F7" w:rsidP="00F961E0"/>
        </w:tc>
        <w:tc>
          <w:tcPr>
            <w:tcW w:w="1560" w:type="dxa"/>
          </w:tcPr>
          <w:p w14:paraId="3950BC8A" w14:textId="77777777" w:rsidR="00DB37F7" w:rsidRPr="00C1630C" w:rsidRDefault="00DB37F7" w:rsidP="00F961E0"/>
        </w:tc>
        <w:tc>
          <w:tcPr>
            <w:tcW w:w="5352" w:type="dxa"/>
          </w:tcPr>
          <w:p w14:paraId="695DD65E" w14:textId="77777777" w:rsidR="00DB37F7" w:rsidRPr="00C1630C" w:rsidRDefault="00DB37F7" w:rsidP="00F961E0"/>
        </w:tc>
      </w:tr>
      <w:tr w:rsidR="00DB37F7" w:rsidRPr="00C1630C" w14:paraId="212EF061" w14:textId="77777777" w:rsidTr="006571EC">
        <w:tc>
          <w:tcPr>
            <w:tcW w:w="1384" w:type="dxa"/>
          </w:tcPr>
          <w:p w14:paraId="22930CE2" w14:textId="77777777" w:rsidR="00DB37F7" w:rsidRPr="00C1630C" w:rsidRDefault="00DB37F7" w:rsidP="00F961E0"/>
        </w:tc>
        <w:tc>
          <w:tcPr>
            <w:tcW w:w="992" w:type="dxa"/>
          </w:tcPr>
          <w:p w14:paraId="7E61EDF3" w14:textId="77777777" w:rsidR="00DB37F7" w:rsidRPr="00C1630C" w:rsidRDefault="00DB37F7" w:rsidP="00F961E0"/>
        </w:tc>
        <w:tc>
          <w:tcPr>
            <w:tcW w:w="1560" w:type="dxa"/>
          </w:tcPr>
          <w:p w14:paraId="0DF277CB" w14:textId="77777777" w:rsidR="00DB37F7" w:rsidRPr="00C1630C" w:rsidRDefault="00DB37F7" w:rsidP="00F961E0"/>
        </w:tc>
        <w:tc>
          <w:tcPr>
            <w:tcW w:w="5352" w:type="dxa"/>
          </w:tcPr>
          <w:p w14:paraId="29EA6B9B" w14:textId="77777777" w:rsidR="00DB37F7" w:rsidRPr="00C1630C" w:rsidRDefault="00DB37F7" w:rsidP="00F961E0"/>
        </w:tc>
      </w:tr>
      <w:tr w:rsidR="00DB37F7" w:rsidRPr="00C1630C" w14:paraId="036F4BA6" w14:textId="77777777" w:rsidTr="006571EC">
        <w:tc>
          <w:tcPr>
            <w:tcW w:w="1384" w:type="dxa"/>
          </w:tcPr>
          <w:p w14:paraId="20C86F44" w14:textId="77777777" w:rsidR="00DB37F7" w:rsidRPr="00C1630C" w:rsidRDefault="00DB37F7" w:rsidP="00F961E0"/>
        </w:tc>
        <w:tc>
          <w:tcPr>
            <w:tcW w:w="992" w:type="dxa"/>
          </w:tcPr>
          <w:p w14:paraId="446135C1" w14:textId="77777777" w:rsidR="00DB37F7" w:rsidRPr="00C1630C" w:rsidRDefault="00DB37F7" w:rsidP="00F961E0"/>
        </w:tc>
        <w:tc>
          <w:tcPr>
            <w:tcW w:w="1560" w:type="dxa"/>
          </w:tcPr>
          <w:p w14:paraId="605813D7" w14:textId="77777777" w:rsidR="00DB37F7" w:rsidRPr="00C1630C" w:rsidRDefault="00DB37F7" w:rsidP="00F961E0"/>
        </w:tc>
        <w:tc>
          <w:tcPr>
            <w:tcW w:w="5352" w:type="dxa"/>
          </w:tcPr>
          <w:p w14:paraId="2DFDFA12" w14:textId="77777777" w:rsidR="00DB37F7" w:rsidRPr="00C1630C" w:rsidRDefault="00DB37F7" w:rsidP="00F961E0"/>
        </w:tc>
      </w:tr>
      <w:tr w:rsidR="00DB37F7" w:rsidRPr="00C1630C" w14:paraId="67D63A31" w14:textId="77777777" w:rsidTr="006571EC">
        <w:tc>
          <w:tcPr>
            <w:tcW w:w="1384" w:type="dxa"/>
          </w:tcPr>
          <w:p w14:paraId="5FB5E13D" w14:textId="77777777" w:rsidR="00DB37F7" w:rsidRPr="00C1630C" w:rsidRDefault="00DB37F7" w:rsidP="00F961E0"/>
        </w:tc>
        <w:tc>
          <w:tcPr>
            <w:tcW w:w="992" w:type="dxa"/>
          </w:tcPr>
          <w:p w14:paraId="5F8EDB5E" w14:textId="77777777" w:rsidR="00DB37F7" w:rsidRPr="00C1630C" w:rsidRDefault="00DB37F7" w:rsidP="00F961E0"/>
        </w:tc>
        <w:tc>
          <w:tcPr>
            <w:tcW w:w="1560" w:type="dxa"/>
          </w:tcPr>
          <w:p w14:paraId="068288CF" w14:textId="77777777" w:rsidR="00DB37F7" w:rsidRPr="00C1630C" w:rsidRDefault="00DB37F7" w:rsidP="00F961E0"/>
        </w:tc>
        <w:tc>
          <w:tcPr>
            <w:tcW w:w="5352" w:type="dxa"/>
          </w:tcPr>
          <w:p w14:paraId="58C710A4" w14:textId="77777777" w:rsidR="00DB37F7" w:rsidRPr="00C1630C" w:rsidRDefault="00DB37F7" w:rsidP="00F961E0"/>
        </w:tc>
      </w:tr>
      <w:tr w:rsidR="00DB37F7" w:rsidRPr="00C1630C" w14:paraId="145D07F6" w14:textId="77777777" w:rsidTr="006571EC">
        <w:tc>
          <w:tcPr>
            <w:tcW w:w="1384" w:type="dxa"/>
          </w:tcPr>
          <w:p w14:paraId="2083691B" w14:textId="77777777" w:rsidR="00DB37F7" w:rsidRPr="00C1630C" w:rsidRDefault="00DB37F7" w:rsidP="00F961E0"/>
        </w:tc>
        <w:tc>
          <w:tcPr>
            <w:tcW w:w="992" w:type="dxa"/>
          </w:tcPr>
          <w:p w14:paraId="6C63FB96" w14:textId="77777777" w:rsidR="00DB37F7" w:rsidRPr="00C1630C" w:rsidRDefault="00DB37F7" w:rsidP="00F961E0"/>
        </w:tc>
        <w:tc>
          <w:tcPr>
            <w:tcW w:w="1560" w:type="dxa"/>
          </w:tcPr>
          <w:p w14:paraId="52B78DF8" w14:textId="77777777" w:rsidR="00DB37F7" w:rsidRPr="00C1630C" w:rsidRDefault="00DB37F7" w:rsidP="00F961E0"/>
        </w:tc>
        <w:tc>
          <w:tcPr>
            <w:tcW w:w="5352" w:type="dxa"/>
          </w:tcPr>
          <w:p w14:paraId="66CE5342" w14:textId="77777777" w:rsidR="00DB37F7" w:rsidRPr="00C1630C" w:rsidRDefault="00DB37F7" w:rsidP="00F961E0"/>
        </w:tc>
      </w:tr>
    </w:tbl>
    <w:p w14:paraId="50071AF1" w14:textId="77777777" w:rsidR="00DB37F7" w:rsidRPr="00C1630C" w:rsidRDefault="00DB37F7" w:rsidP="00F961E0"/>
    <w:p w14:paraId="3BA180B1" w14:textId="77777777" w:rsidR="00C05696" w:rsidRPr="00C1630C" w:rsidRDefault="00C05696" w:rsidP="00F961E0"/>
    <w:p w14:paraId="3DD2EAC8" w14:textId="55FF768C" w:rsidR="00F961E0" w:rsidRPr="00C1630C" w:rsidRDefault="005721AA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2151E4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4BB1DC33" w14:textId="77777777" w:rsidR="00490C82" w:rsidRDefault="00C851F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C1630C">
        <w:fldChar w:fldCharType="begin"/>
      </w:r>
      <w:r w:rsidR="005721AA" w:rsidRPr="00C1630C">
        <w:instrText xml:space="preserve"> TOC \o "1-3" \h \z \u </w:instrText>
      </w:r>
      <w:r w:rsidRPr="00C1630C">
        <w:fldChar w:fldCharType="separate"/>
      </w:r>
      <w:hyperlink w:anchor="_Toc449887882" w:history="1">
        <w:r w:rsidR="00490C82" w:rsidRPr="003A18E5">
          <w:rPr>
            <w:rStyle w:val="Hiperveza"/>
            <w:noProof/>
          </w:rPr>
          <w:t>1.</w:t>
        </w:r>
        <w:r w:rsidR="00490C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Objetivos, alcance y usuarios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_Toc449887882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3</w:t>
        </w:r>
        <w:r w:rsidR="00490C82">
          <w:rPr>
            <w:noProof/>
            <w:webHidden/>
          </w:rPr>
          <w:fldChar w:fldCharType="end"/>
        </w:r>
      </w:hyperlink>
    </w:p>
    <w:p w14:paraId="01597935" w14:textId="77777777" w:rsidR="00490C82" w:rsidRDefault="00B9424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883" w:history="1">
        <w:r w:rsidR="00490C82" w:rsidRPr="003A18E5">
          <w:rPr>
            <w:rStyle w:val="Hiperveza"/>
            <w:noProof/>
          </w:rPr>
          <w:t>2.</w:t>
        </w:r>
        <w:r w:rsidR="00490C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Documentos de referencia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_Toc449887883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3</w:t>
        </w:r>
        <w:r w:rsidR="00490C82">
          <w:rPr>
            <w:noProof/>
            <w:webHidden/>
          </w:rPr>
          <w:fldChar w:fldCharType="end"/>
        </w:r>
      </w:hyperlink>
    </w:p>
    <w:p w14:paraId="608B9036" w14:textId="77777777" w:rsidR="00490C82" w:rsidRDefault="00B9424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884" w:history="1">
        <w:r w:rsidR="00490C82" w:rsidRPr="003A18E5">
          <w:rPr>
            <w:rStyle w:val="Hiperveza"/>
            <w:noProof/>
          </w:rPr>
          <w:t>3.</w:t>
        </w:r>
        <w:r w:rsidR="00490C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Preparación y respuesta ante incendios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_Toc449887884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3</w:t>
        </w:r>
        <w:r w:rsidR="00490C82">
          <w:rPr>
            <w:noProof/>
            <w:webHidden/>
          </w:rPr>
          <w:fldChar w:fldCharType="end"/>
        </w:r>
      </w:hyperlink>
    </w:p>
    <w:p w14:paraId="65285D07" w14:textId="77777777" w:rsidR="00490C82" w:rsidRDefault="00B9424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885" w:history="1">
        <w:r w:rsidR="00490C82" w:rsidRPr="003A18E5">
          <w:rPr>
            <w:rStyle w:val="Hiperveza"/>
            <w:noProof/>
          </w:rPr>
          <w:t>3.1.</w:t>
        </w:r>
        <w:r w:rsidR="00490C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Medidas preventivas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_Toc449887885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3</w:t>
        </w:r>
        <w:r w:rsidR="00490C82">
          <w:rPr>
            <w:noProof/>
            <w:webHidden/>
          </w:rPr>
          <w:fldChar w:fldCharType="end"/>
        </w:r>
      </w:hyperlink>
    </w:p>
    <w:p w14:paraId="5885D30C" w14:textId="77777777" w:rsidR="00490C82" w:rsidRDefault="00B9424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886" w:history="1">
        <w:r w:rsidR="00490C82" w:rsidRPr="003A18E5">
          <w:rPr>
            <w:rStyle w:val="Hiperveza"/>
            <w:noProof/>
          </w:rPr>
          <w:t>3.2.</w:t>
        </w:r>
        <w:r w:rsidR="00490C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Actuación en caso de incendio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_Toc449887886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5</w:t>
        </w:r>
        <w:r w:rsidR="00490C82">
          <w:rPr>
            <w:noProof/>
            <w:webHidden/>
          </w:rPr>
          <w:fldChar w:fldCharType="end"/>
        </w:r>
      </w:hyperlink>
    </w:p>
    <w:p w14:paraId="20FE56B7" w14:textId="77777777" w:rsidR="00490C82" w:rsidRDefault="00B9424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887" w:history="1">
        <w:r w:rsidR="00490C82" w:rsidRPr="003A18E5">
          <w:rPr>
            <w:rStyle w:val="Hiperveza"/>
            <w:noProof/>
          </w:rPr>
          <w:t>3.3.</w:t>
        </w:r>
        <w:r w:rsidR="00490C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Evacuación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_Toc449887887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5</w:t>
        </w:r>
        <w:r w:rsidR="00490C82">
          <w:rPr>
            <w:noProof/>
            <w:webHidden/>
          </w:rPr>
          <w:fldChar w:fldCharType="end"/>
        </w:r>
      </w:hyperlink>
    </w:p>
    <w:p w14:paraId="58517EC6" w14:textId="77777777" w:rsidR="00490C82" w:rsidRDefault="00B9424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888" w:history="1">
        <w:r w:rsidR="00490C82" w:rsidRPr="003A18E5">
          <w:rPr>
            <w:rStyle w:val="Hiperveza"/>
            <w:noProof/>
          </w:rPr>
          <w:t>3.4.</w:t>
        </w:r>
        <w:r w:rsidR="00490C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Mantenimiento del equipamiento para lucha contra incendio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_Toc449887888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6</w:t>
        </w:r>
        <w:r w:rsidR="00490C82">
          <w:rPr>
            <w:noProof/>
            <w:webHidden/>
          </w:rPr>
          <w:fldChar w:fldCharType="end"/>
        </w:r>
      </w:hyperlink>
    </w:p>
    <w:p w14:paraId="49795908" w14:textId="77777777" w:rsidR="00490C82" w:rsidRDefault="00B9424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889" w:history="1">
        <w:r w:rsidR="00490C82" w:rsidRPr="003A18E5">
          <w:rPr>
            <w:rStyle w:val="Hiperveza"/>
            <w:noProof/>
          </w:rPr>
          <w:t>3.5.</w:t>
        </w:r>
        <w:r w:rsidR="00490C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Medidas de protección del medio ambiente y de la salud humana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_Toc449887889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6</w:t>
        </w:r>
        <w:r w:rsidR="00490C82">
          <w:rPr>
            <w:noProof/>
            <w:webHidden/>
          </w:rPr>
          <w:fldChar w:fldCharType="end"/>
        </w:r>
      </w:hyperlink>
    </w:p>
    <w:p w14:paraId="4F595F59" w14:textId="77777777" w:rsidR="00490C82" w:rsidRDefault="00B9424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887890" w:history="1">
        <w:r w:rsidR="00490C82" w:rsidRPr="003A18E5">
          <w:rPr>
            <w:rStyle w:val="Hiperveza"/>
            <w:noProof/>
          </w:rPr>
          <w:t>3.5.1.</w:t>
        </w:r>
        <w:r w:rsidR="00490C8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Medidas de protección del aire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_Toc449887890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6</w:t>
        </w:r>
        <w:r w:rsidR="00490C82">
          <w:rPr>
            <w:noProof/>
            <w:webHidden/>
          </w:rPr>
          <w:fldChar w:fldCharType="end"/>
        </w:r>
      </w:hyperlink>
    </w:p>
    <w:p w14:paraId="32ABB233" w14:textId="77777777" w:rsidR="00490C82" w:rsidRDefault="00B9424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887891" w:history="1">
        <w:r w:rsidR="00490C82" w:rsidRPr="003A18E5">
          <w:rPr>
            <w:rStyle w:val="Hiperveza"/>
            <w:noProof/>
          </w:rPr>
          <w:t>3.5.2.</w:t>
        </w:r>
        <w:r w:rsidR="00490C8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Ambiente de trabajo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_Toc449887891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7</w:t>
        </w:r>
        <w:r w:rsidR="00490C82">
          <w:rPr>
            <w:noProof/>
            <w:webHidden/>
          </w:rPr>
          <w:fldChar w:fldCharType="end"/>
        </w:r>
      </w:hyperlink>
    </w:p>
    <w:p w14:paraId="7FE01255" w14:textId="77777777" w:rsidR="00490C82" w:rsidRDefault="00B9424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887892" w:history="1">
        <w:r w:rsidR="00490C82" w:rsidRPr="003A18E5">
          <w:rPr>
            <w:rStyle w:val="Hiperveza"/>
            <w:noProof/>
          </w:rPr>
          <w:t>3.5.3.</w:t>
        </w:r>
        <w:r w:rsidR="00490C8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Medidas para la protección de aguas superficiales y subterráneas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_Toc449887892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7</w:t>
        </w:r>
        <w:r w:rsidR="00490C82">
          <w:rPr>
            <w:noProof/>
            <w:webHidden/>
          </w:rPr>
          <w:fldChar w:fldCharType="end"/>
        </w:r>
      </w:hyperlink>
    </w:p>
    <w:p w14:paraId="522C55D7" w14:textId="77777777" w:rsidR="00490C82" w:rsidRDefault="00B9424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887893" w:history="1">
        <w:r w:rsidR="00490C82" w:rsidRPr="003A18E5">
          <w:rPr>
            <w:rStyle w:val="Hiperveza"/>
            <w:noProof/>
          </w:rPr>
          <w:t>3.5.4.</w:t>
        </w:r>
        <w:r w:rsidR="00490C8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Medidas contra las emisiones en tierra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_Toc449887893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7</w:t>
        </w:r>
        <w:r w:rsidR="00490C82">
          <w:rPr>
            <w:noProof/>
            <w:webHidden/>
          </w:rPr>
          <w:fldChar w:fldCharType="end"/>
        </w:r>
      </w:hyperlink>
    </w:p>
    <w:p w14:paraId="09E608D4" w14:textId="77777777" w:rsidR="00490C82" w:rsidRDefault="00B9424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887894" w:history="1">
        <w:r w:rsidR="00490C82" w:rsidRPr="003A18E5">
          <w:rPr>
            <w:rStyle w:val="Hiperveza"/>
            <w:noProof/>
          </w:rPr>
          <w:t>3.6.</w:t>
        </w:r>
        <w:r w:rsidR="00490C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Prueba y verificación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_Toc449887894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7</w:t>
        </w:r>
        <w:r w:rsidR="00490C82">
          <w:rPr>
            <w:noProof/>
            <w:webHidden/>
          </w:rPr>
          <w:fldChar w:fldCharType="end"/>
        </w:r>
      </w:hyperlink>
    </w:p>
    <w:p w14:paraId="58ED59D2" w14:textId="77777777" w:rsidR="00490C82" w:rsidRDefault="00B9424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887895" w:history="1">
        <w:r w:rsidR="00490C82" w:rsidRPr="003A18E5">
          <w:rPr>
            <w:rStyle w:val="Hiperveza"/>
            <w:noProof/>
          </w:rPr>
          <w:t>4.</w:t>
        </w:r>
        <w:r w:rsidR="00490C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90C82" w:rsidRPr="003A18E5">
          <w:rPr>
            <w:rStyle w:val="Hiperveza"/>
            <w:noProof/>
          </w:rPr>
          <w:t>Gestión de registros guardados en base a este documento</w:t>
        </w:r>
        <w:r w:rsidR="00490C82">
          <w:rPr>
            <w:noProof/>
            <w:webHidden/>
          </w:rPr>
          <w:tab/>
        </w:r>
        <w:r w:rsidR="00490C82">
          <w:rPr>
            <w:noProof/>
            <w:webHidden/>
          </w:rPr>
          <w:fldChar w:fldCharType="begin"/>
        </w:r>
        <w:r w:rsidR="00490C82">
          <w:rPr>
            <w:noProof/>
            <w:webHidden/>
          </w:rPr>
          <w:instrText xml:space="preserve"> PAGEREF _Toc449887895 \h </w:instrText>
        </w:r>
        <w:r w:rsidR="00490C82">
          <w:rPr>
            <w:noProof/>
            <w:webHidden/>
          </w:rPr>
        </w:r>
        <w:r w:rsidR="00490C82">
          <w:rPr>
            <w:noProof/>
            <w:webHidden/>
          </w:rPr>
          <w:fldChar w:fldCharType="separate"/>
        </w:r>
        <w:r w:rsidR="00490C82">
          <w:rPr>
            <w:noProof/>
            <w:webHidden/>
          </w:rPr>
          <w:t>7</w:t>
        </w:r>
        <w:r w:rsidR="00490C82">
          <w:rPr>
            <w:noProof/>
            <w:webHidden/>
          </w:rPr>
          <w:fldChar w:fldCharType="end"/>
        </w:r>
      </w:hyperlink>
    </w:p>
    <w:p w14:paraId="5A90A2A4" w14:textId="77777777" w:rsidR="00625BC5" w:rsidRPr="00C1630C" w:rsidRDefault="00C851F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C1630C">
        <w:fldChar w:fldCharType="end"/>
      </w:r>
    </w:p>
    <w:p w14:paraId="79BC5281" w14:textId="77777777" w:rsidR="00F961E0" w:rsidRPr="00C1630C" w:rsidRDefault="00F961E0" w:rsidP="00F961E0"/>
    <w:p w14:paraId="48B61267" w14:textId="77777777" w:rsidR="00F961E0" w:rsidRPr="00C1630C" w:rsidRDefault="00F961E0" w:rsidP="00F961E0"/>
    <w:p w14:paraId="0BECD6DB" w14:textId="77777777" w:rsidR="00F961E0" w:rsidRPr="00C1630C" w:rsidRDefault="00F961E0" w:rsidP="00F961E0"/>
    <w:p w14:paraId="17FB5672" w14:textId="77777777" w:rsidR="00F961E0" w:rsidRPr="00C1630C" w:rsidRDefault="005721AA" w:rsidP="00DB37F7">
      <w:pPr>
        <w:pStyle w:val="Naslov1"/>
      </w:pPr>
      <w:r>
        <w:br w:type="page"/>
      </w:r>
      <w:bookmarkStart w:id="3" w:name="_Toc404340578"/>
      <w:bookmarkStart w:id="4" w:name="_Toc449887882"/>
      <w:r>
        <w:lastRenderedPageBreak/>
        <w:t>Objetivos, alcance y usuarios</w:t>
      </w:r>
      <w:bookmarkEnd w:id="3"/>
      <w:bookmarkEnd w:id="4"/>
    </w:p>
    <w:p w14:paraId="20300073" w14:textId="77777777" w:rsidR="00567A8B" w:rsidRPr="00C1630C" w:rsidRDefault="005721AA" w:rsidP="00DB37F7">
      <w:r>
        <w:t>El objetivo de este documento es definir el plan de preparación para casos de emergencia ante incendios, incluidas las medidas preventivas, las acciones ante incendios, evacuación y regreso al lugar de trabajo.</w:t>
      </w:r>
    </w:p>
    <w:p w14:paraId="6C8DF59F" w14:textId="77777777" w:rsidR="005570C9" w:rsidRPr="00C1630C" w:rsidRDefault="005721AA" w:rsidP="00DB37F7">
      <w:r>
        <w:t>Este documento se aplica a todas las partes y ubicaciones de [nombre de la organización].</w:t>
      </w:r>
    </w:p>
    <w:p w14:paraId="1D14B74B" w14:textId="77777777" w:rsidR="002F1FE2" w:rsidRPr="00C1630C" w:rsidRDefault="005721AA" w:rsidP="00DB37F7">
      <w:r>
        <w:t>Los usuarios de este documento son todos los empleados de [nombre de la organización].</w:t>
      </w:r>
    </w:p>
    <w:p w14:paraId="3EC88CB1" w14:textId="77777777" w:rsidR="00DB37F7" w:rsidRPr="00C1630C" w:rsidRDefault="00DB37F7" w:rsidP="00DB37F7"/>
    <w:p w14:paraId="2ECA30FA" w14:textId="77777777" w:rsidR="00DB37F7" w:rsidRPr="00C1630C" w:rsidRDefault="005721AA" w:rsidP="00DB37F7">
      <w:pPr>
        <w:pStyle w:val="Naslov1"/>
      </w:pPr>
      <w:bookmarkStart w:id="5" w:name="_Toc404340579"/>
      <w:bookmarkStart w:id="6" w:name="_Toc449887883"/>
      <w:r>
        <w:t>Documentos de referencia</w:t>
      </w:r>
      <w:bookmarkEnd w:id="5"/>
      <w:bookmarkEnd w:id="6"/>
    </w:p>
    <w:p w14:paraId="1DC5B606" w14:textId="44165A10" w:rsidR="00013BDD" w:rsidRPr="00C1630C" w:rsidRDefault="005721AA" w:rsidP="00F27883">
      <w:pPr>
        <w:numPr>
          <w:ilvl w:val="0"/>
          <w:numId w:val="4"/>
        </w:numPr>
        <w:spacing w:after="0"/>
      </w:pPr>
      <w:r>
        <w:t>Norma ISO 14001</w:t>
      </w:r>
      <w:r w:rsidR="00796081">
        <w:t>:2015</w:t>
      </w:r>
      <w:r>
        <w:t xml:space="preserve">, capítulos </w:t>
      </w:r>
      <w:r w:rsidR="00796081">
        <w:t>8.2</w:t>
      </w:r>
    </w:p>
    <w:p w14:paraId="44E4B76E" w14:textId="4EA3C9DE" w:rsidR="00C32389" w:rsidRPr="00C1630C" w:rsidRDefault="005721AA" w:rsidP="00F27883">
      <w:pPr>
        <w:numPr>
          <w:ilvl w:val="0"/>
          <w:numId w:val="4"/>
        </w:numPr>
        <w:spacing w:after="0"/>
      </w:pPr>
      <w:r>
        <w:t xml:space="preserve">Manual de </w:t>
      </w:r>
      <w:r w:rsidR="00173A3A">
        <w:t>SGI</w:t>
      </w:r>
      <w:r>
        <w:t xml:space="preserve"> </w:t>
      </w:r>
    </w:p>
    <w:p w14:paraId="155DDA18" w14:textId="77777777" w:rsidR="00D015E5" w:rsidRPr="00C1630C" w:rsidRDefault="005721AA" w:rsidP="00F27883">
      <w:pPr>
        <w:numPr>
          <w:ilvl w:val="0"/>
          <w:numId w:val="4"/>
        </w:numPr>
        <w:spacing w:after="0"/>
      </w:pPr>
      <w:r>
        <w:t xml:space="preserve">Política de gestión ambiental </w:t>
      </w:r>
    </w:p>
    <w:p w14:paraId="4C848A1C" w14:textId="77777777" w:rsidR="00DB37F7" w:rsidRPr="00C1630C" w:rsidRDefault="005721AA" w:rsidP="00F07192">
      <w:pPr>
        <w:pStyle w:val="Odlomakpopisa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13B32147" w14:textId="77777777" w:rsidR="00F07192" w:rsidRDefault="005721AA" w:rsidP="00F07192">
      <w:pPr>
        <w:pStyle w:val="Odlomakpopisa"/>
        <w:numPr>
          <w:ilvl w:val="0"/>
          <w:numId w:val="4"/>
        </w:numPr>
      </w:pPr>
      <w:r>
        <w:t xml:space="preserve">Procedimiento para la comunicación </w:t>
      </w:r>
    </w:p>
    <w:p w14:paraId="1CA323C1" w14:textId="264B0FFB" w:rsidR="00796081" w:rsidRPr="00C1630C" w:rsidRDefault="00796081" w:rsidP="00F07192">
      <w:pPr>
        <w:pStyle w:val="Odlomakpopisa"/>
        <w:numPr>
          <w:ilvl w:val="0"/>
          <w:numId w:val="4"/>
        </w:numPr>
      </w:pPr>
      <w:r>
        <w:t>Procedimiento para preparación y respuesta a emergencias</w:t>
      </w:r>
    </w:p>
    <w:p w14:paraId="5A1050BF" w14:textId="7C8419D1" w:rsidR="00771B61" w:rsidRPr="00C1630C" w:rsidRDefault="005721AA" w:rsidP="00F07192">
      <w:pPr>
        <w:pStyle w:val="Odlomakpopisa"/>
        <w:numPr>
          <w:ilvl w:val="0"/>
          <w:numId w:val="4"/>
        </w:numPr>
      </w:pPr>
      <w:r>
        <w:t>Procedimiento para la gestión de no conformidades y de medidas correctivas</w:t>
      </w:r>
    </w:p>
    <w:p w14:paraId="3EF692D1" w14:textId="28B0CF93" w:rsidR="00055ADA" w:rsidRPr="00C1630C" w:rsidRDefault="005721AA" w:rsidP="00F07192">
      <w:pPr>
        <w:pStyle w:val="Odlomakpopisa"/>
        <w:numPr>
          <w:ilvl w:val="0"/>
          <w:numId w:val="4"/>
        </w:numPr>
      </w:pPr>
      <w:r>
        <w:t xml:space="preserve">Lista de </w:t>
      </w:r>
      <w:r w:rsidR="00796081">
        <w:t xml:space="preserve">partes interesadas, </w:t>
      </w:r>
      <w:r>
        <w:t>requisitos legales y de otra índole</w:t>
      </w:r>
    </w:p>
    <w:p w14:paraId="146B3731" w14:textId="77777777" w:rsidR="00A7378B" w:rsidRPr="00C1630C" w:rsidRDefault="00A7378B" w:rsidP="00A7378B"/>
    <w:p w14:paraId="70310F6A" w14:textId="77777777" w:rsidR="00733780" w:rsidRPr="00C1630C" w:rsidRDefault="005721AA" w:rsidP="000974BD">
      <w:pPr>
        <w:pStyle w:val="Naslov1"/>
      </w:pPr>
      <w:bookmarkStart w:id="7" w:name="_Toc404340580"/>
      <w:bookmarkStart w:id="8" w:name="_Toc449887884"/>
      <w:r>
        <w:t>Preparación y respuesta ante incendios</w:t>
      </w:r>
      <w:bookmarkEnd w:id="7"/>
      <w:bookmarkEnd w:id="8"/>
    </w:p>
    <w:p w14:paraId="252953B0" w14:textId="77777777" w:rsidR="003F2B21" w:rsidRPr="00C1630C" w:rsidRDefault="005721AA" w:rsidP="003F2B21">
      <w:r>
        <w:t>En caso de emergencias, la persona responsable de la coordinación es el [cargo]</w:t>
      </w:r>
    </w:p>
    <w:p w14:paraId="3D7C5C48" w14:textId="77777777" w:rsidR="004B1B94" w:rsidRPr="00C1630C" w:rsidRDefault="005721AA" w:rsidP="004B1B94">
      <w:pPr>
        <w:pStyle w:val="Naslov2"/>
      </w:pPr>
      <w:bookmarkStart w:id="9" w:name="_Toc404340581"/>
      <w:bookmarkStart w:id="10" w:name="_Toc449887885"/>
      <w:r>
        <w:t>Medidas preventivas</w:t>
      </w:r>
      <w:bookmarkEnd w:id="9"/>
      <w:bookmarkEnd w:id="10"/>
    </w:p>
    <w:p w14:paraId="66ED0BB9" w14:textId="77777777" w:rsidR="00186FF4" w:rsidRPr="00C1630C" w:rsidRDefault="005721AA" w:rsidP="000974BD">
      <w:r>
        <w:t>El [cargo] es el responsable de la implementación y del mantenimiento de las siguientes medidas preventivas para disminuir las posibilidades de incendio en [nombre de la organización]:</w:t>
      </w:r>
    </w:p>
    <w:p w14:paraId="2EE7A2AE" w14:textId="77777777" w:rsidR="003F2B21" w:rsidRPr="00C1630C" w:rsidRDefault="005721AA" w:rsidP="00E211E9">
      <w:pPr>
        <w:pStyle w:val="Odlomakpopisa"/>
        <w:numPr>
          <w:ilvl w:val="0"/>
          <w:numId w:val="24"/>
        </w:numPr>
        <w:spacing w:after="0"/>
      </w:pPr>
      <w:r>
        <w:t xml:space="preserve">Garantizar el acceso al Departamento de bomberos a través de rutas de acceso. Proporcionar rotondas para garantizar la disponibilidad de técnicas de extinción de incendios en todas las partes del complejo. </w:t>
      </w:r>
    </w:p>
    <w:p w14:paraId="0758CB53" w14:textId="77777777" w:rsidR="003F2B21" w:rsidRPr="00C1630C" w:rsidRDefault="005721AA" w:rsidP="00A00DE9">
      <w:pPr>
        <w:pStyle w:val="Odlomakpopisa"/>
        <w:numPr>
          <w:ilvl w:val="0"/>
          <w:numId w:val="24"/>
        </w:numPr>
        <w:spacing w:after="0"/>
      </w:pPr>
      <w:r>
        <w:t xml:space="preserve">Mantener libres las rutas de acceso, prohibir allí el estacionamiento y retirar los vehículos, como también cualquier desecho de materiales o equipamiento.  </w:t>
      </w:r>
    </w:p>
    <w:p w14:paraId="747CE805" w14:textId="77777777" w:rsidR="003F2B21" w:rsidRPr="00C1630C" w:rsidRDefault="005721AA" w:rsidP="00A00DE9">
      <w:pPr>
        <w:pStyle w:val="Odlomakpopisa"/>
        <w:numPr>
          <w:ilvl w:val="0"/>
          <w:numId w:val="24"/>
        </w:numPr>
        <w:spacing w:after="0"/>
      </w:pPr>
      <w:r>
        <w:t>Las zonas de peligro de inflamación no deben contener materiales ni dispositivos que puedan provocar un incendio o afectar su expansión. En estas zona</w:t>
      </w:r>
      <w:r w:rsidR="008C3992">
        <w:t>s</w:t>
      </w:r>
      <w:r>
        <w:t xml:space="preserve"> de peligro está prohibido ingresar llamas abiertas, soldar, trabajar con equipamiento que produzca chispas y, de acuerdo con esto, se deben colocar señales de prohibición y advertencia.   </w:t>
      </w:r>
    </w:p>
    <w:p w14:paraId="76DE02D8" w14:textId="77777777" w:rsidR="003F2B21" w:rsidRPr="00C1630C" w:rsidRDefault="005721AA" w:rsidP="00A00DE9">
      <w:pPr>
        <w:pStyle w:val="Odlomakpopisa"/>
        <w:numPr>
          <w:ilvl w:val="0"/>
          <w:numId w:val="24"/>
        </w:numPr>
        <w:spacing w:after="0"/>
      </w:pPr>
      <w:r>
        <w:t>En el lugar, la extinción primaria de incendios se planifica con extintores tipo S y CO2.</w:t>
      </w:r>
    </w:p>
    <w:p w14:paraId="3A1F9682" w14:textId="77777777" w:rsidR="007D34CB" w:rsidRDefault="007D34CB" w:rsidP="008E0B5B">
      <w:pPr>
        <w:pStyle w:val="Odlomakpopisa"/>
        <w:numPr>
          <w:ilvl w:val="0"/>
          <w:numId w:val="24"/>
        </w:numPr>
        <w:spacing w:after="0"/>
      </w:pPr>
      <w:r>
        <w:t>…</w:t>
      </w:r>
    </w:p>
    <w:p w14:paraId="1FFBF0BF" w14:textId="77777777" w:rsidR="007D34CB" w:rsidRDefault="007D34CB" w:rsidP="007D34CB">
      <w:pPr>
        <w:spacing w:after="0"/>
      </w:pPr>
    </w:p>
    <w:p w14:paraId="2F5F66B3" w14:textId="77777777" w:rsidR="007D34CB" w:rsidRDefault="007D34CB" w:rsidP="007D34CB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lastRenderedPageBreak/>
        <w:t>** FIN DE MUESTRA GRATIS **</w:t>
      </w:r>
    </w:p>
    <w:p w14:paraId="3E202290" w14:textId="5FDE1BDD" w:rsidR="002A5ED3" w:rsidRPr="00C1630C" w:rsidRDefault="007D34CB" w:rsidP="007D34CB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AF1122">
          <w:rPr>
            <w:rStyle w:val="Hiperveza"/>
            <w:lang w:eastAsia="en-US"/>
          </w:rPr>
          <w:t>http://advisera.com/14001academy/es/documentation/preparacion-para-emergencias-y-plan-de-respuesta-ante-emergencias-de-fuego/</w:t>
        </w:r>
      </w:hyperlink>
      <w:r>
        <w:rPr>
          <w:lang w:eastAsia="en-US"/>
        </w:rPr>
        <w:t xml:space="preserve"> </w:t>
      </w:r>
      <w:bookmarkStart w:id="11" w:name="_GoBack"/>
      <w:bookmarkEnd w:id="11"/>
    </w:p>
    <w:sectPr w:rsidR="002A5ED3" w:rsidRPr="00C1630C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3:46:00Z" w:initials="9A">
    <w:p w14:paraId="2AA574C5" w14:textId="2D81B8CD" w:rsidR="001E6646" w:rsidRDefault="001E6646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3:47:00Z" w:initials="9A">
    <w:p w14:paraId="2747067C" w14:textId="37F50DAC" w:rsidR="001E6646" w:rsidRDefault="001E6646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2" w:author="9001Academy" w:date="2016-04-29T13:47:00Z" w:initials="9A">
    <w:p w14:paraId="679652A2" w14:textId="2FCE0348" w:rsidR="001E6646" w:rsidRDefault="001E6646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EE4645" w15:done="0"/>
  <w15:commentEx w15:paraId="170AA893" w15:done="0"/>
  <w15:commentEx w15:paraId="0EF1CB46" w15:done="0"/>
  <w15:commentEx w15:paraId="6D0FF4EC" w15:done="0"/>
  <w15:commentEx w15:paraId="1834004B" w15:done="0"/>
  <w15:commentEx w15:paraId="1DFBE8C8" w15:done="0"/>
  <w15:commentEx w15:paraId="641E0896" w15:done="0"/>
  <w15:commentEx w15:paraId="6F3C4AB7" w15:done="0"/>
  <w15:commentEx w15:paraId="5D525EE5" w15:done="0"/>
  <w15:commentEx w15:paraId="05E517C6" w15:done="0"/>
  <w15:commentEx w15:paraId="40CDB8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F78F97" w14:textId="77777777" w:rsidR="00B94244" w:rsidRDefault="00B94244" w:rsidP="00F961E0">
      <w:pPr>
        <w:spacing w:after="0" w:line="240" w:lineRule="auto"/>
      </w:pPr>
      <w:r>
        <w:separator/>
      </w:r>
    </w:p>
  </w:endnote>
  <w:endnote w:type="continuationSeparator" w:id="0">
    <w:p w14:paraId="7DB1F302" w14:textId="77777777" w:rsidR="00B94244" w:rsidRDefault="00B9424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1985"/>
      <w:gridCol w:w="3685"/>
    </w:tblGrid>
    <w:tr w:rsidR="00802D6E" w:rsidRPr="00513E98" w14:paraId="3C598DD9" w14:textId="77777777" w:rsidTr="00566160">
      <w:tc>
        <w:tcPr>
          <w:tcW w:w="4077" w:type="dxa"/>
        </w:tcPr>
        <w:p w14:paraId="2345477C" w14:textId="4C5B0BAD" w:rsidR="00802D6E" w:rsidRPr="00513E98" w:rsidRDefault="007374CF" w:rsidP="00B9018C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 xml:space="preserve">Apéndice 1 - </w:t>
          </w:r>
          <w:r w:rsidR="00F45A26" w:rsidRPr="00F45A26">
            <w:rPr>
              <w:sz w:val="18"/>
            </w:rPr>
            <w:t>Plan de Preparación y Respuesta ante Emergencias para Fuego</w:t>
          </w:r>
        </w:p>
      </w:tc>
      <w:tc>
        <w:tcPr>
          <w:tcW w:w="1985" w:type="dxa"/>
        </w:tcPr>
        <w:p w14:paraId="33D42A4D" w14:textId="77777777" w:rsidR="00802D6E" w:rsidRPr="00513E98" w:rsidRDefault="00513E98" w:rsidP="00513E98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6D67A609" w14:textId="77777777" w:rsidR="00802D6E" w:rsidRPr="00513E98" w:rsidRDefault="00513E98" w:rsidP="006571EC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851F5" w:rsidRPr="00513E98">
            <w:rPr>
              <w:b/>
              <w:sz w:val="18"/>
              <w:szCs w:val="18"/>
            </w:rPr>
            <w:fldChar w:fldCharType="begin"/>
          </w:r>
          <w:r w:rsidR="00802D6E" w:rsidRPr="00513E98">
            <w:rPr>
              <w:b/>
              <w:sz w:val="18"/>
              <w:szCs w:val="18"/>
            </w:rPr>
            <w:instrText xml:space="preserve"> PAGE </w:instrText>
          </w:r>
          <w:r w:rsidR="00C851F5" w:rsidRPr="00513E98">
            <w:rPr>
              <w:b/>
              <w:sz w:val="18"/>
              <w:szCs w:val="18"/>
            </w:rPr>
            <w:fldChar w:fldCharType="separate"/>
          </w:r>
          <w:r w:rsidR="007D34CB">
            <w:rPr>
              <w:b/>
              <w:noProof/>
              <w:sz w:val="18"/>
              <w:szCs w:val="18"/>
            </w:rPr>
            <w:t>2</w:t>
          </w:r>
          <w:r w:rsidR="00C851F5" w:rsidRPr="00513E98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851F5" w:rsidRPr="00513E98">
            <w:rPr>
              <w:b/>
              <w:sz w:val="18"/>
              <w:szCs w:val="18"/>
            </w:rPr>
            <w:fldChar w:fldCharType="begin"/>
          </w:r>
          <w:r w:rsidR="00802D6E" w:rsidRPr="00513E98">
            <w:rPr>
              <w:b/>
              <w:sz w:val="18"/>
              <w:szCs w:val="18"/>
            </w:rPr>
            <w:instrText xml:space="preserve"> NUMPAGES  </w:instrText>
          </w:r>
          <w:r w:rsidR="00C851F5" w:rsidRPr="00513E98">
            <w:rPr>
              <w:b/>
              <w:sz w:val="18"/>
              <w:szCs w:val="18"/>
            </w:rPr>
            <w:fldChar w:fldCharType="separate"/>
          </w:r>
          <w:r w:rsidR="007D34CB">
            <w:rPr>
              <w:b/>
              <w:noProof/>
              <w:sz w:val="18"/>
              <w:szCs w:val="18"/>
            </w:rPr>
            <w:t>4</w:t>
          </w:r>
          <w:r w:rsidR="00C851F5" w:rsidRPr="00513E98">
            <w:rPr>
              <w:b/>
              <w:sz w:val="18"/>
              <w:szCs w:val="18"/>
            </w:rPr>
            <w:fldChar w:fldCharType="end"/>
          </w:r>
        </w:p>
      </w:tc>
    </w:tr>
  </w:tbl>
  <w:p w14:paraId="52A38AEF" w14:textId="3F759E00" w:rsidR="00513E98" w:rsidRPr="00513E98" w:rsidRDefault="00513E98" w:rsidP="00513E98">
    <w:pPr>
      <w:autoSpaceDE w:val="0"/>
      <w:autoSpaceDN w:val="0"/>
      <w:adjustRightInd w:val="0"/>
      <w:spacing w:after="0"/>
      <w:jc w:val="center"/>
      <w:rPr>
        <w:rFonts w:cs="Calibri"/>
        <w:sz w:val="16"/>
        <w:szCs w:val="16"/>
      </w:rPr>
    </w:pPr>
    <w:r>
      <w:rPr>
        <w:sz w:val="16"/>
      </w:rPr>
      <w:t>©201</w:t>
    </w:r>
    <w:r w:rsidR="00F45A26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7374CF">
      <w:rPr>
        <w:sz w:val="16"/>
      </w:rPr>
      <w:t>advisera</w:t>
    </w:r>
    <w:r>
      <w:rPr>
        <w:sz w:val="16"/>
      </w:rPr>
      <w:t>.com, según Contrato de licencia.</w:t>
    </w:r>
  </w:p>
  <w:p w14:paraId="6715C924" w14:textId="77777777" w:rsidR="00802D6E" w:rsidRPr="00513E98" w:rsidRDefault="00802D6E" w:rsidP="00513E98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44F7E" w14:textId="33FD24E7" w:rsidR="00802D6E" w:rsidRPr="00CB1D44" w:rsidRDefault="00CB1D44" w:rsidP="009518BE">
    <w:pPr>
      <w:pStyle w:val="Podnoje"/>
      <w:jc w:val="center"/>
    </w:pPr>
    <w:r>
      <w:rPr>
        <w:sz w:val="16"/>
      </w:rPr>
      <w:t>©201</w:t>
    </w:r>
    <w:r w:rsidR="001E6646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B643B0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97F1A" w14:textId="77777777" w:rsidR="00B94244" w:rsidRDefault="00B94244" w:rsidP="00F961E0">
      <w:pPr>
        <w:spacing w:after="0" w:line="240" w:lineRule="auto"/>
      </w:pPr>
      <w:r>
        <w:separator/>
      </w:r>
    </w:p>
  </w:footnote>
  <w:footnote w:type="continuationSeparator" w:id="0">
    <w:p w14:paraId="646573A8" w14:textId="77777777" w:rsidR="00B94244" w:rsidRDefault="00B9424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02D6E" w:rsidRPr="00CB1D44" w14:paraId="0B21FA4B" w14:textId="77777777" w:rsidTr="006571EC">
      <w:tc>
        <w:tcPr>
          <w:tcW w:w="6771" w:type="dxa"/>
        </w:tcPr>
        <w:p w14:paraId="158FA480" w14:textId="77777777" w:rsidR="00802D6E" w:rsidRPr="00CB1D44" w:rsidRDefault="00CB1D44" w:rsidP="006571EC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2A69153" w14:textId="77777777" w:rsidR="00802D6E" w:rsidRPr="00CB1D44" w:rsidRDefault="00802D6E" w:rsidP="00B9018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18BBA42" w14:textId="77777777" w:rsidR="00802D6E" w:rsidRPr="00CB1D44" w:rsidRDefault="00802D6E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9724AF"/>
    <w:multiLevelType w:val="hybridMultilevel"/>
    <w:tmpl w:val="21D42B44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06C36"/>
    <w:multiLevelType w:val="hybridMultilevel"/>
    <w:tmpl w:val="2892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71C34"/>
    <w:multiLevelType w:val="hybridMultilevel"/>
    <w:tmpl w:val="472A9440"/>
    <w:lvl w:ilvl="0" w:tplc="040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E546F"/>
    <w:multiLevelType w:val="hybridMultilevel"/>
    <w:tmpl w:val="BA8AD68E"/>
    <w:lvl w:ilvl="0" w:tplc="DFEC10A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39901121"/>
    <w:multiLevelType w:val="hybridMultilevel"/>
    <w:tmpl w:val="8F4E1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32F76"/>
    <w:multiLevelType w:val="hybridMultilevel"/>
    <w:tmpl w:val="047C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86453"/>
    <w:multiLevelType w:val="hybridMultilevel"/>
    <w:tmpl w:val="2A9AC5A8"/>
    <w:lvl w:ilvl="0" w:tplc="E6725D64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>
    <w:nsid w:val="41D373C1"/>
    <w:multiLevelType w:val="hybridMultilevel"/>
    <w:tmpl w:val="2E3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CC7324"/>
    <w:multiLevelType w:val="hybridMultilevel"/>
    <w:tmpl w:val="28FE1EFC"/>
    <w:lvl w:ilvl="0" w:tplc="B07AA6BC"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480B8D"/>
    <w:multiLevelType w:val="hybridMultilevel"/>
    <w:tmpl w:val="AC26D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2F6EE5"/>
    <w:multiLevelType w:val="hybridMultilevel"/>
    <w:tmpl w:val="B9E4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DA2345"/>
    <w:multiLevelType w:val="hybridMultilevel"/>
    <w:tmpl w:val="7B64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013C93"/>
    <w:multiLevelType w:val="hybridMultilevel"/>
    <w:tmpl w:val="38DA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8"/>
  </w:num>
  <w:num w:numId="5">
    <w:abstractNumId w:val="7"/>
  </w:num>
  <w:num w:numId="6">
    <w:abstractNumId w:val="23"/>
  </w:num>
  <w:num w:numId="7">
    <w:abstractNumId w:val="17"/>
  </w:num>
  <w:num w:numId="8">
    <w:abstractNumId w:val="22"/>
  </w:num>
  <w:num w:numId="9">
    <w:abstractNumId w:val="2"/>
  </w:num>
  <w:num w:numId="10">
    <w:abstractNumId w:val="8"/>
  </w:num>
  <w:num w:numId="11">
    <w:abstractNumId w:val="24"/>
  </w:num>
  <w:num w:numId="12">
    <w:abstractNumId w:val="15"/>
  </w:num>
  <w:num w:numId="13">
    <w:abstractNumId w:val="5"/>
  </w:num>
  <w:num w:numId="14">
    <w:abstractNumId w:val="19"/>
  </w:num>
  <w:num w:numId="15">
    <w:abstractNumId w:val="14"/>
  </w:num>
  <w:num w:numId="16">
    <w:abstractNumId w:val="13"/>
  </w:num>
  <w:num w:numId="17">
    <w:abstractNumId w:val="4"/>
  </w:num>
  <w:num w:numId="18">
    <w:abstractNumId w:val="25"/>
  </w:num>
  <w:num w:numId="19">
    <w:abstractNumId w:val="10"/>
  </w:num>
  <w:num w:numId="20">
    <w:abstractNumId w:val="21"/>
  </w:num>
  <w:num w:numId="21">
    <w:abstractNumId w:val="11"/>
  </w:num>
  <w:num w:numId="22">
    <w:abstractNumId w:val="16"/>
  </w:num>
  <w:num w:numId="23">
    <w:abstractNumId w:val="1"/>
  </w:num>
  <w:num w:numId="24">
    <w:abstractNumId w:val="20"/>
  </w:num>
  <w:num w:numId="25">
    <w:abstractNumId w:val="3"/>
  </w:num>
  <w:num w:numId="26">
    <w:abstractNumId w:val="1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DD"/>
    <w:rsid w:val="00017923"/>
    <w:rsid w:val="00034B94"/>
    <w:rsid w:val="00035843"/>
    <w:rsid w:val="00055ADA"/>
    <w:rsid w:val="00070F32"/>
    <w:rsid w:val="0007248F"/>
    <w:rsid w:val="00085234"/>
    <w:rsid w:val="00091EB3"/>
    <w:rsid w:val="00092BD4"/>
    <w:rsid w:val="000955E8"/>
    <w:rsid w:val="000974BD"/>
    <w:rsid w:val="000A7FA2"/>
    <w:rsid w:val="000B6718"/>
    <w:rsid w:val="000D53F1"/>
    <w:rsid w:val="000E3F5B"/>
    <w:rsid w:val="000E7357"/>
    <w:rsid w:val="000F14BF"/>
    <w:rsid w:val="001039A6"/>
    <w:rsid w:val="00107102"/>
    <w:rsid w:val="001078A6"/>
    <w:rsid w:val="0013458A"/>
    <w:rsid w:val="00137B38"/>
    <w:rsid w:val="001432B3"/>
    <w:rsid w:val="0014498B"/>
    <w:rsid w:val="001528AC"/>
    <w:rsid w:val="00171AF5"/>
    <w:rsid w:val="00172368"/>
    <w:rsid w:val="00173A3A"/>
    <w:rsid w:val="00174971"/>
    <w:rsid w:val="001821DE"/>
    <w:rsid w:val="001836F0"/>
    <w:rsid w:val="00186FF4"/>
    <w:rsid w:val="00191261"/>
    <w:rsid w:val="00196A80"/>
    <w:rsid w:val="001A4AD4"/>
    <w:rsid w:val="001C4FF0"/>
    <w:rsid w:val="001D2C27"/>
    <w:rsid w:val="001E1369"/>
    <w:rsid w:val="001E30EF"/>
    <w:rsid w:val="001E6646"/>
    <w:rsid w:val="00213286"/>
    <w:rsid w:val="002151E4"/>
    <w:rsid w:val="0022231A"/>
    <w:rsid w:val="002268A7"/>
    <w:rsid w:val="002539EC"/>
    <w:rsid w:val="0026388C"/>
    <w:rsid w:val="00265B41"/>
    <w:rsid w:val="00272162"/>
    <w:rsid w:val="00275773"/>
    <w:rsid w:val="00277078"/>
    <w:rsid w:val="0027723B"/>
    <w:rsid w:val="00285CAE"/>
    <w:rsid w:val="00286DA9"/>
    <w:rsid w:val="00287058"/>
    <w:rsid w:val="002A5ED3"/>
    <w:rsid w:val="002B4770"/>
    <w:rsid w:val="002C5DAC"/>
    <w:rsid w:val="002D4B42"/>
    <w:rsid w:val="002D6710"/>
    <w:rsid w:val="002E24CB"/>
    <w:rsid w:val="002F1FE2"/>
    <w:rsid w:val="00301C2D"/>
    <w:rsid w:val="003056B2"/>
    <w:rsid w:val="00362C14"/>
    <w:rsid w:val="0036462A"/>
    <w:rsid w:val="0037175D"/>
    <w:rsid w:val="00376382"/>
    <w:rsid w:val="0038697F"/>
    <w:rsid w:val="00391E50"/>
    <w:rsid w:val="00395C52"/>
    <w:rsid w:val="003960DD"/>
    <w:rsid w:val="00397BED"/>
    <w:rsid w:val="003A5D9D"/>
    <w:rsid w:val="003B1D2D"/>
    <w:rsid w:val="003B1F24"/>
    <w:rsid w:val="003D03A0"/>
    <w:rsid w:val="003D326F"/>
    <w:rsid w:val="003D6500"/>
    <w:rsid w:val="003E3F88"/>
    <w:rsid w:val="003F2B21"/>
    <w:rsid w:val="00406BF1"/>
    <w:rsid w:val="00422476"/>
    <w:rsid w:val="00425031"/>
    <w:rsid w:val="004277BB"/>
    <w:rsid w:val="00432BAB"/>
    <w:rsid w:val="00452B3C"/>
    <w:rsid w:val="004558E5"/>
    <w:rsid w:val="00456A0D"/>
    <w:rsid w:val="004651E9"/>
    <w:rsid w:val="00467A10"/>
    <w:rsid w:val="00470DBB"/>
    <w:rsid w:val="004733DC"/>
    <w:rsid w:val="00490C82"/>
    <w:rsid w:val="004A6E73"/>
    <w:rsid w:val="004B1B94"/>
    <w:rsid w:val="004B1E43"/>
    <w:rsid w:val="004C5FE4"/>
    <w:rsid w:val="004D4FCB"/>
    <w:rsid w:val="004E6B2E"/>
    <w:rsid w:val="004F0341"/>
    <w:rsid w:val="004F6F5B"/>
    <w:rsid w:val="0050010D"/>
    <w:rsid w:val="005011D8"/>
    <w:rsid w:val="00513E98"/>
    <w:rsid w:val="0052442D"/>
    <w:rsid w:val="00535758"/>
    <w:rsid w:val="00542B74"/>
    <w:rsid w:val="0055249B"/>
    <w:rsid w:val="005570C9"/>
    <w:rsid w:val="00566160"/>
    <w:rsid w:val="005678E5"/>
    <w:rsid w:val="00567A8B"/>
    <w:rsid w:val="0057014E"/>
    <w:rsid w:val="005721AA"/>
    <w:rsid w:val="00583628"/>
    <w:rsid w:val="0059006B"/>
    <w:rsid w:val="005B189F"/>
    <w:rsid w:val="005B6803"/>
    <w:rsid w:val="005B7D1F"/>
    <w:rsid w:val="005E52F5"/>
    <w:rsid w:val="00603B01"/>
    <w:rsid w:val="006116EB"/>
    <w:rsid w:val="006225A6"/>
    <w:rsid w:val="00625BC5"/>
    <w:rsid w:val="00626075"/>
    <w:rsid w:val="0062710C"/>
    <w:rsid w:val="006571EC"/>
    <w:rsid w:val="00674ED8"/>
    <w:rsid w:val="00680278"/>
    <w:rsid w:val="00682CDC"/>
    <w:rsid w:val="006B5F6F"/>
    <w:rsid w:val="006C6892"/>
    <w:rsid w:val="006E6029"/>
    <w:rsid w:val="006F6523"/>
    <w:rsid w:val="00703037"/>
    <w:rsid w:val="007050F0"/>
    <w:rsid w:val="00705A3C"/>
    <w:rsid w:val="00705E9B"/>
    <w:rsid w:val="00713FDB"/>
    <w:rsid w:val="007149C5"/>
    <w:rsid w:val="00733780"/>
    <w:rsid w:val="00734C62"/>
    <w:rsid w:val="007374CF"/>
    <w:rsid w:val="00771B61"/>
    <w:rsid w:val="0077377F"/>
    <w:rsid w:val="007738E6"/>
    <w:rsid w:val="00780968"/>
    <w:rsid w:val="00781BA5"/>
    <w:rsid w:val="00781FD6"/>
    <w:rsid w:val="00785B20"/>
    <w:rsid w:val="00791EB2"/>
    <w:rsid w:val="00796081"/>
    <w:rsid w:val="007A1271"/>
    <w:rsid w:val="007C1892"/>
    <w:rsid w:val="007C27B1"/>
    <w:rsid w:val="007D34CB"/>
    <w:rsid w:val="007E5B80"/>
    <w:rsid w:val="007E76AF"/>
    <w:rsid w:val="007F4F26"/>
    <w:rsid w:val="00801C00"/>
    <w:rsid w:val="00802D6E"/>
    <w:rsid w:val="00813B78"/>
    <w:rsid w:val="00827209"/>
    <w:rsid w:val="00833AD2"/>
    <w:rsid w:val="00835122"/>
    <w:rsid w:val="008358BC"/>
    <w:rsid w:val="008411AF"/>
    <w:rsid w:val="008420C9"/>
    <w:rsid w:val="00845CB2"/>
    <w:rsid w:val="008535C6"/>
    <w:rsid w:val="00854AB5"/>
    <w:rsid w:val="008568E6"/>
    <w:rsid w:val="00862403"/>
    <w:rsid w:val="00862FA8"/>
    <w:rsid w:val="00866191"/>
    <w:rsid w:val="00870A28"/>
    <w:rsid w:val="00897C36"/>
    <w:rsid w:val="008A442A"/>
    <w:rsid w:val="008A5C8A"/>
    <w:rsid w:val="008B50E4"/>
    <w:rsid w:val="008B627B"/>
    <w:rsid w:val="008C047D"/>
    <w:rsid w:val="008C0496"/>
    <w:rsid w:val="008C0F5C"/>
    <w:rsid w:val="008C3992"/>
    <w:rsid w:val="008D3293"/>
    <w:rsid w:val="008E0B5B"/>
    <w:rsid w:val="0090394F"/>
    <w:rsid w:val="00903ED2"/>
    <w:rsid w:val="00910EFF"/>
    <w:rsid w:val="00927DFD"/>
    <w:rsid w:val="00930413"/>
    <w:rsid w:val="009411BC"/>
    <w:rsid w:val="009418DE"/>
    <w:rsid w:val="009518BE"/>
    <w:rsid w:val="00954BAC"/>
    <w:rsid w:val="00954FC0"/>
    <w:rsid w:val="00980AEF"/>
    <w:rsid w:val="009B72E1"/>
    <w:rsid w:val="009C6CFC"/>
    <w:rsid w:val="009E7F12"/>
    <w:rsid w:val="009F2950"/>
    <w:rsid w:val="00A00DE9"/>
    <w:rsid w:val="00A031DA"/>
    <w:rsid w:val="00A16BD7"/>
    <w:rsid w:val="00A23A34"/>
    <w:rsid w:val="00A33F09"/>
    <w:rsid w:val="00A44976"/>
    <w:rsid w:val="00A61C61"/>
    <w:rsid w:val="00A7378B"/>
    <w:rsid w:val="00A8481C"/>
    <w:rsid w:val="00A93005"/>
    <w:rsid w:val="00AA2DDC"/>
    <w:rsid w:val="00AA7BB8"/>
    <w:rsid w:val="00AD6DAE"/>
    <w:rsid w:val="00AF3843"/>
    <w:rsid w:val="00AF5FD5"/>
    <w:rsid w:val="00AF61B7"/>
    <w:rsid w:val="00B13711"/>
    <w:rsid w:val="00B35A92"/>
    <w:rsid w:val="00B5327D"/>
    <w:rsid w:val="00B643B0"/>
    <w:rsid w:val="00B9018C"/>
    <w:rsid w:val="00B92B29"/>
    <w:rsid w:val="00B94244"/>
    <w:rsid w:val="00B971FD"/>
    <w:rsid w:val="00BA39DD"/>
    <w:rsid w:val="00BC5538"/>
    <w:rsid w:val="00BD3234"/>
    <w:rsid w:val="00BF2A35"/>
    <w:rsid w:val="00BF578B"/>
    <w:rsid w:val="00C05696"/>
    <w:rsid w:val="00C16301"/>
    <w:rsid w:val="00C1630C"/>
    <w:rsid w:val="00C3232D"/>
    <w:rsid w:val="00C32389"/>
    <w:rsid w:val="00C376C2"/>
    <w:rsid w:val="00C44D6F"/>
    <w:rsid w:val="00C5303E"/>
    <w:rsid w:val="00C65D51"/>
    <w:rsid w:val="00C73CE6"/>
    <w:rsid w:val="00C851F5"/>
    <w:rsid w:val="00C8592C"/>
    <w:rsid w:val="00CB1D44"/>
    <w:rsid w:val="00CB4D05"/>
    <w:rsid w:val="00CC40A4"/>
    <w:rsid w:val="00CC6690"/>
    <w:rsid w:val="00CD035C"/>
    <w:rsid w:val="00D01489"/>
    <w:rsid w:val="00D015E5"/>
    <w:rsid w:val="00D1698E"/>
    <w:rsid w:val="00D318A1"/>
    <w:rsid w:val="00D42131"/>
    <w:rsid w:val="00D628C6"/>
    <w:rsid w:val="00D844D2"/>
    <w:rsid w:val="00DA4167"/>
    <w:rsid w:val="00DB37F7"/>
    <w:rsid w:val="00DD2FFC"/>
    <w:rsid w:val="00DD440F"/>
    <w:rsid w:val="00DF11BD"/>
    <w:rsid w:val="00DF16BB"/>
    <w:rsid w:val="00DF34E3"/>
    <w:rsid w:val="00DF3C11"/>
    <w:rsid w:val="00DF7911"/>
    <w:rsid w:val="00E07A88"/>
    <w:rsid w:val="00E11807"/>
    <w:rsid w:val="00E118EB"/>
    <w:rsid w:val="00E13242"/>
    <w:rsid w:val="00E14C3D"/>
    <w:rsid w:val="00E211E9"/>
    <w:rsid w:val="00E22AA4"/>
    <w:rsid w:val="00E24B33"/>
    <w:rsid w:val="00E26829"/>
    <w:rsid w:val="00E2791F"/>
    <w:rsid w:val="00E33A47"/>
    <w:rsid w:val="00E345EF"/>
    <w:rsid w:val="00E364E2"/>
    <w:rsid w:val="00E41AF7"/>
    <w:rsid w:val="00E43778"/>
    <w:rsid w:val="00E760D8"/>
    <w:rsid w:val="00E827CC"/>
    <w:rsid w:val="00E84B9D"/>
    <w:rsid w:val="00E8608F"/>
    <w:rsid w:val="00E932AC"/>
    <w:rsid w:val="00EA08A9"/>
    <w:rsid w:val="00ED15C3"/>
    <w:rsid w:val="00EF176E"/>
    <w:rsid w:val="00EF3E09"/>
    <w:rsid w:val="00EF7719"/>
    <w:rsid w:val="00F007B7"/>
    <w:rsid w:val="00F01934"/>
    <w:rsid w:val="00F07192"/>
    <w:rsid w:val="00F125D8"/>
    <w:rsid w:val="00F1470B"/>
    <w:rsid w:val="00F1637C"/>
    <w:rsid w:val="00F22AC4"/>
    <w:rsid w:val="00F263C5"/>
    <w:rsid w:val="00F27883"/>
    <w:rsid w:val="00F346D8"/>
    <w:rsid w:val="00F37C34"/>
    <w:rsid w:val="00F45A26"/>
    <w:rsid w:val="00F55C07"/>
    <w:rsid w:val="00F627F7"/>
    <w:rsid w:val="00F8343B"/>
    <w:rsid w:val="00F961E0"/>
    <w:rsid w:val="00FA1653"/>
    <w:rsid w:val="00FD6682"/>
    <w:rsid w:val="00FF4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446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eastAsia="es-ES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674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6116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Obinatablica"/>
    <w:next w:val="Reetkatablice"/>
    <w:uiPriority w:val="59"/>
    <w:rsid w:val="00785B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9518B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preparacion-para-emergencias-y-plan-de-respuesta-ante-emergencias-de-fueg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06BA7-A1C4-4A34-B37F-050FA9B3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657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Plan de Preparación y Respuesta ante Emergencias para Fuego</vt:lpstr>
      <vt:lpstr>Plan de preparación y respuesta de emergencia ante incendios</vt:lpstr>
    </vt:vector>
  </TitlesOfParts>
  <Manager/>
  <Company>EPPS Services Ltd</Company>
  <LinksUpToDate>false</LinksUpToDate>
  <CharactersWithSpaces>4395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Plan de Preparación y Respuesta ante Emergencias para Fuego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14</cp:revision>
  <dcterms:created xsi:type="dcterms:W3CDTF">2014-11-21T18:42:00Z</dcterms:created>
  <dcterms:modified xsi:type="dcterms:W3CDTF">2016-05-03T22:05:00Z</dcterms:modified>
  <cp:category/>
</cp:coreProperties>
</file>