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4CEBE" w14:textId="77777777" w:rsidR="00BC6ED3" w:rsidRDefault="00086C45" w:rsidP="00967A62">
      <w:pPr>
        <w:rPr>
          <w:b/>
          <w:sz w:val="28"/>
        </w:rPr>
      </w:pPr>
      <w:commentRangeStart w:id="0"/>
      <w:r w:rsidRPr="008F26C8">
        <w:rPr>
          <w:b/>
          <w:sz w:val="28"/>
        </w:rPr>
        <w:t>A</w:t>
      </w:r>
      <w:r w:rsidR="009518D7" w:rsidRPr="008F26C8">
        <w:rPr>
          <w:b/>
          <w:sz w:val="28"/>
        </w:rPr>
        <w:t>nhang</w:t>
      </w:r>
      <w:r w:rsidRPr="008F26C8">
        <w:rPr>
          <w:b/>
          <w:sz w:val="28"/>
        </w:rPr>
        <w:t xml:space="preserve"> 1 – </w:t>
      </w:r>
      <w:r w:rsidR="0059132A" w:rsidRPr="008F26C8">
        <w:rPr>
          <w:b/>
          <w:sz w:val="28"/>
        </w:rPr>
        <w:t xml:space="preserve">Matrix </w:t>
      </w:r>
      <w:r w:rsidR="009518D7" w:rsidRPr="008F26C8">
        <w:rPr>
          <w:b/>
          <w:sz w:val="28"/>
        </w:rPr>
        <w:t>der Umweltleistung</w:t>
      </w:r>
      <w:commentRangeEnd w:id="0"/>
      <w:r w:rsidR="003D104C">
        <w:rPr>
          <w:rStyle w:val="CommentReference"/>
        </w:rPr>
        <w:commentReference w:id="0"/>
      </w:r>
    </w:p>
    <w:p w14:paraId="1A1413D5" w14:textId="5A696B37" w:rsidR="00225FB6" w:rsidRPr="008F26C8" w:rsidRDefault="00225FB6" w:rsidP="00225FB6">
      <w:pPr>
        <w:jc w:val="center"/>
        <w:rPr>
          <w:b/>
          <w:sz w:val="28"/>
        </w:rPr>
      </w:pPr>
      <w:r w:rsidRPr="002D2725">
        <w:rPr>
          <w:rFonts w:asciiTheme="minorHAnsi" w:eastAsiaTheme="minorEastAsia" w:hAnsiTheme="minorHAnsi"/>
        </w:rPr>
        <w:t>** KOSTENLOSE VORSCHAU **</w:t>
      </w:r>
    </w:p>
    <w:tbl>
      <w:tblPr>
        <w:tblStyle w:val="TableGrid"/>
        <w:tblW w:w="144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1284"/>
        <w:gridCol w:w="1276"/>
        <w:gridCol w:w="1418"/>
        <w:gridCol w:w="1418"/>
        <w:gridCol w:w="1512"/>
        <w:gridCol w:w="1560"/>
        <w:gridCol w:w="1276"/>
        <w:gridCol w:w="1276"/>
        <w:gridCol w:w="1275"/>
        <w:gridCol w:w="1566"/>
      </w:tblGrid>
      <w:tr w:rsidR="00033C77" w:rsidRPr="008F26C8" w14:paraId="3980E806" w14:textId="77777777" w:rsidTr="00225FB6">
        <w:trPr>
          <w:trHeight w:val="628"/>
        </w:trPr>
        <w:tc>
          <w:tcPr>
            <w:tcW w:w="559" w:type="dxa"/>
            <w:vMerge w:val="restart"/>
            <w:shd w:val="clear" w:color="auto" w:fill="D9D9D9" w:themeFill="background1" w:themeFillShade="D9"/>
            <w:vAlign w:val="center"/>
          </w:tcPr>
          <w:p w14:paraId="7D0C183A" w14:textId="77777777" w:rsidR="00033C77" w:rsidRPr="008F26C8" w:rsidRDefault="009518D7" w:rsidP="00FD2D1C">
            <w:pPr>
              <w:spacing w:after="0"/>
            </w:pPr>
            <w:r w:rsidRPr="008F26C8">
              <w:t>Nr</w:t>
            </w:r>
            <w:r w:rsidR="00033C77" w:rsidRPr="008F26C8">
              <w:t>.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540A54AB" w14:textId="77777777" w:rsidR="00033C77" w:rsidRPr="008F26C8" w:rsidRDefault="009518D7" w:rsidP="00FD2D1C">
            <w:pPr>
              <w:spacing w:after="0"/>
            </w:pPr>
            <w:r w:rsidRPr="008F26C8">
              <w:t>Prozess/ Aktivität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B5EF7AB" w14:textId="4B2AD104" w:rsidR="00033C77" w:rsidRPr="008F26C8" w:rsidRDefault="00225FB6" w:rsidP="008037DE">
            <w:pPr>
              <w:spacing w:after="0"/>
            </w:pPr>
            <w:r>
              <w:t>...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755022E6" w14:textId="77777777" w:rsidR="00033C77" w:rsidRPr="008F26C8" w:rsidRDefault="009518D7" w:rsidP="009518D7">
            <w:pPr>
              <w:spacing w:after="0"/>
            </w:pPr>
            <w:r w:rsidRPr="008F26C8">
              <w:t>Indik</w:t>
            </w:r>
            <w:r w:rsidR="00033C77" w:rsidRPr="008F26C8">
              <w:t>ator (</w:t>
            </w:r>
            <w:r w:rsidRPr="008F26C8">
              <w:t>Mess-einheit</w:t>
            </w:r>
            <w:r w:rsidR="00033C77" w:rsidRPr="008F26C8">
              <w:t>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1E57D235" w14:textId="54FB9962" w:rsidR="00033C77" w:rsidRPr="008F26C8" w:rsidRDefault="00225FB6" w:rsidP="009518D7">
            <w:pPr>
              <w:spacing w:after="0"/>
            </w:pPr>
            <w:r>
              <w:t>...</w:t>
            </w:r>
          </w:p>
        </w:tc>
        <w:tc>
          <w:tcPr>
            <w:tcW w:w="1512" w:type="dxa"/>
            <w:vMerge w:val="restart"/>
            <w:shd w:val="clear" w:color="auto" w:fill="D9D9D9" w:themeFill="background1" w:themeFillShade="D9"/>
            <w:vAlign w:val="center"/>
          </w:tcPr>
          <w:p w14:paraId="2A281073" w14:textId="0107CF6E" w:rsidR="00033C77" w:rsidRPr="008F26C8" w:rsidRDefault="00225FB6" w:rsidP="00225FB6">
            <w:pPr>
              <w:spacing w:after="0"/>
            </w:pPr>
            <w:r>
              <w:t>...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5E0BD368" w14:textId="6382116F" w:rsidR="00033C77" w:rsidRPr="008F26C8" w:rsidRDefault="009518D7" w:rsidP="00FD2D1C">
            <w:pPr>
              <w:spacing w:after="0"/>
            </w:pPr>
            <w:r w:rsidRPr="008F26C8">
              <w:t>Verantwortlich für die Messung</w:t>
            </w:r>
            <w:r w:rsidR="002C1817" w:rsidRPr="008F26C8">
              <w:t xml:space="preserve"> 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06BA2F80" w14:textId="05F7FFFD" w:rsidR="00033C77" w:rsidRPr="008F26C8" w:rsidRDefault="00225FB6" w:rsidP="00FD2D1C">
            <w:pPr>
              <w:spacing w:after="0"/>
            </w:pPr>
            <w:r>
              <w:t>...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FBCF880" w14:textId="77777777" w:rsidR="00033C77" w:rsidRPr="008F26C8" w:rsidRDefault="009518D7" w:rsidP="00FD2D1C">
            <w:pPr>
              <w:spacing w:after="0"/>
            </w:pPr>
            <w:r w:rsidRPr="008F26C8">
              <w:t>Gesamt-ergebnis der Messung</w:t>
            </w:r>
          </w:p>
        </w:tc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14:paraId="7F960669" w14:textId="77777777" w:rsidR="00033C77" w:rsidRPr="008F26C8" w:rsidRDefault="00033C77" w:rsidP="005326C3">
            <w:pPr>
              <w:spacing w:after="0"/>
            </w:pPr>
            <w:commentRangeStart w:id="1"/>
            <w:r w:rsidRPr="008F26C8">
              <w:t xml:space="preserve"> EP</w:t>
            </w:r>
            <w:r w:rsidR="005326C3" w:rsidRPr="008F26C8">
              <w:t xml:space="preserve">E </w:t>
            </w:r>
            <w:r w:rsidR="009518D7" w:rsidRPr="008F26C8">
              <w:t>Indikatoren</w:t>
            </w:r>
            <w:commentRangeEnd w:id="1"/>
            <w:r w:rsidRPr="008F26C8">
              <w:rPr>
                <w:rStyle w:val="CommentReference"/>
                <w:lang w:val="de-DE"/>
              </w:rPr>
              <w:commentReference w:id="1"/>
            </w:r>
          </w:p>
        </w:tc>
      </w:tr>
      <w:tr w:rsidR="00FD2D1C" w:rsidRPr="008F26C8" w14:paraId="61D13B33" w14:textId="77777777" w:rsidTr="00225FB6">
        <w:tc>
          <w:tcPr>
            <w:tcW w:w="559" w:type="dxa"/>
            <w:vMerge/>
          </w:tcPr>
          <w:p w14:paraId="21520E04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84" w:type="dxa"/>
            <w:vMerge/>
            <w:vAlign w:val="center"/>
          </w:tcPr>
          <w:p w14:paraId="63F06F24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76" w:type="dxa"/>
            <w:vMerge/>
          </w:tcPr>
          <w:p w14:paraId="19E4A10E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73035BEB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62EA2B4C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512" w:type="dxa"/>
            <w:vMerge/>
            <w:shd w:val="clear" w:color="auto" w:fill="D9D9D9" w:themeFill="background1" w:themeFillShade="D9"/>
          </w:tcPr>
          <w:p w14:paraId="4C8BF639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14:paraId="3071CCF6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18D0D48F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1E77279A" w14:textId="77777777" w:rsidR="00FD2D1C" w:rsidRPr="008F26C8" w:rsidRDefault="00FD2D1C" w:rsidP="00FD2D1C">
            <w:pPr>
              <w:spacing w:after="0"/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5C36F485" w14:textId="045F129C" w:rsidR="00FD2D1C" w:rsidRPr="008F26C8" w:rsidRDefault="00225FB6" w:rsidP="00FD2D1C">
            <w:pPr>
              <w:spacing w:after="0"/>
            </w:pPr>
            <w:r>
              <w:t>...</w:t>
            </w:r>
          </w:p>
          <w:p w14:paraId="434F6749" w14:textId="77777777" w:rsidR="00033C77" w:rsidRPr="008F26C8" w:rsidRDefault="00033C77" w:rsidP="009518D7">
            <w:pPr>
              <w:spacing w:after="0"/>
            </w:pPr>
            <w:r w:rsidRPr="008F26C8">
              <w:t>(</w:t>
            </w:r>
            <w:r w:rsidR="009518D7" w:rsidRPr="008F26C8">
              <w:t>ja</w:t>
            </w:r>
            <w:r w:rsidRPr="008F26C8">
              <w:t>/</w:t>
            </w:r>
            <w:r w:rsidR="009518D7" w:rsidRPr="008F26C8">
              <w:t>nein</w:t>
            </w:r>
            <w:r w:rsidRPr="008F26C8">
              <w:t>)</w:t>
            </w:r>
          </w:p>
        </w:tc>
        <w:tc>
          <w:tcPr>
            <w:tcW w:w="1566" w:type="dxa"/>
            <w:shd w:val="clear" w:color="auto" w:fill="D9D9D9" w:themeFill="background1" w:themeFillShade="D9"/>
          </w:tcPr>
          <w:p w14:paraId="583A349C" w14:textId="3A3BC333" w:rsidR="00FD2D1C" w:rsidRPr="008F26C8" w:rsidRDefault="00225FB6" w:rsidP="00FD2D1C">
            <w:pPr>
              <w:tabs>
                <w:tab w:val="center" w:pos="672"/>
              </w:tabs>
              <w:spacing w:after="0"/>
            </w:pPr>
            <w:r>
              <w:t>...</w:t>
            </w:r>
          </w:p>
          <w:p w14:paraId="4C011D63" w14:textId="77777777" w:rsidR="00033C77" w:rsidRPr="008F26C8" w:rsidRDefault="00033C77" w:rsidP="009518D7">
            <w:pPr>
              <w:tabs>
                <w:tab w:val="center" w:pos="672"/>
              </w:tabs>
              <w:spacing w:after="0"/>
            </w:pPr>
            <w:r w:rsidRPr="008F26C8">
              <w:t>(</w:t>
            </w:r>
            <w:r w:rsidR="009518D7" w:rsidRPr="008F26C8">
              <w:t>ja/nein</w:t>
            </w:r>
            <w:r w:rsidRPr="008F26C8">
              <w:t>)</w:t>
            </w:r>
          </w:p>
        </w:tc>
      </w:tr>
      <w:tr w:rsidR="006C67A5" w:rsidRPr="008F26C8" w14:paraId="40AE8057" w14:textId="77777777" w:rsidTr="00225FB6">
        <w:tc>
          <w:tcPr>
            <w:tcW w:w="559" w:type="dxa"/>
            <w:vMerge w:val="restart"/>
            <w:vAlign w:val="center"/>
          </w:tcPr>
          <w:p w14:paraId="32D9045F" w14:textId="77777777" w:rsidR="006C67A5" w:rsidRPr="008F26C8" w:rsidRDefault="006C67A5" w:rsidP="000A4E5D">
            <w:pPr>
              <w:spacing w:after="0"/>
              <w:jc w:val="center"/>
            </w:pPr>
            <w:r w:rsidRPr="008F26C8">
              <w:t>1.</w:t>
            </w:r>
          </w:p>
        </w:tc>
        <w:tc>
          <w:tcPr>
            <w:tcW w:w="1284" w:type="dxa"/>
            <w:vMerge w:val="restart"/>
            <w:vAlign w:val="center"/>
          </w:tcPr>
          <w:p w14:paraId="4A89791E" w14:textId="77777777" w:rsidR="006C67A5" w:rsidRPr="008F26C8" w:rsidRDefault="0059132A" w:rsidP="00B640EE">
            <w:pPr>
              <w:spacing w:after="0"/>
            </w:pPr>
            <w:r w:rsidRPr="008F26C8">
              <w:t>Asphalt</w:t>
            </w:r>
            <w:r w:rsidR="009518D7" w:rsidRPr="008F26C8">
              <w:t>-Produktion</w:t>
            </w:r>
          </w:p>
        </w:tc>
        <w:tc>
          <w:tcPr>
            <w:tcW w:w="1276" w:type="dxa"/>
          </w:tcPr>
          <w:p w14:paraId="16F84E1D" w14:textId="09ECDEEC" w:rsidR="006C67A5" w:rsidRPr="008F26C8" w:rsidRDefault="00225FB6" w:rsidP="009518D7">
            <w:pPr>
              <w:spacing w:after="0"/>
            </w:pPr>
            <w:r>
              <w:t>...</w:t>
            </w:r>
          </w:p>
        </w:tc>
        <w:tc>
          <w:tcPr>
            <w:tcW w:w="1418" w:type="dxa"/>
          </w:tcPr>
          <w:p w14:paraId="4ED97CAF" w14:textId="77777777" w:rsidR="006C67A5" w:rsidRPr="008F26C8" w:rsidRDefault="009518D7" w:rsidP="00BA3255">
            <w:pPr>
              <w:spacing w:after="0"/>
            </w:pPr>
            <w:r w:rsidRPr="008F26C8">
              <w:t>Tonne</w:t>
            </w:r>
          </w:p>
        </w:tc>
        <w:tc>
          <w:tcPr>
            <w:tcW w:w="1418" w:type="dxa"/>
          </w:tcPr>
          <w:p w14:paraId="089130BA" w14:textId="49D18B2E" w:rsidR="00225FB6" w:rsidRDefault="00225FB6" w:rsidP="00BA3255">
            <w:pPr>
              <w:spacing w:after="0"/>
            </w:pPr>
            <w:r>
              <w:t>...</w:t>
            </w:r>
          </w:p>
          <w:p w14:paraId="458B6300" w14:textId="77777777" w:rsidR="006C67A5" w:rsidRPr="00225FB6" w:rsidRDefault="006C67A5" w:rsidP="00225FB6">
            <w:pPr>
              <w:jc w:val="center"/>
            </w:pPr>
          </w:p>
        </w:tc>
        <w:tc>
          <w:tcPr>
            <w:tcW w:w="1512" w:type="dxa"/>
          </w:tcPr>
          <w:p w14:paraId="4506F94E" w14:textId="0264B2F0" w:rsidR="006C67A5" w:rsidRPr="008F26C8" w:rsidRDefault="00225FB6" w:rsidP="00177AFB">
            <w:pPr>
              <w:spacing w:after="0"/>
            </w:pPr>
            <w:r>
              <w:t>...</w:t>
            </w:r>
          </w:p>
        </w:tc>
        <w:tc>
          <w:tcPr>
            <w:tcW w:w="1560" w:type="dxa"/>
          </w:tcPr>
          <w:p w14:paraId="379705D8" w14:textId="77777777" w:rsidR="006C67A5" w:rsidRPr="008F26C8" w:rsidRDefault="006C67A5" w:rsidP="00177AFB">
            <w:pPr>
              <w:spacing w:after="0"/>
            </w:pPr>
            <w:r w:rsidRPr="008F26C8">
              <w:t>Techni</w:t>
            </w:r>
            <w:r w:rsidR="00177AFB" w:rsidRPr="008F26C8">
              <w:t xml:space="preserve">scher Manager </w:t>
            </w:r>
          </w:p>
        </w:tc>
        <w:tc>
          <w:tcPr>
            <w:tcW w:w="1276" w:type="dxa"/>
          </w:tcPr>
          <w:p w14:paraId="37C80783" w14:textId="60944300" w:rsidR="006C67A5" w:rsidRPr="008F26C8" w:rsidRDefault="00225FB6" w:rsidP="006C67A5">
            <w:pPr>
              <w:spacing w:after="0"/>
            </w:pPr>
            <w:r>
              <w:t>...</w:t>
            </w:r>
          </w:p>
        </w:tc>
        <w:tc>
          <w:tcPr>
            <w:tcW w:w="1276" w:type="dxa"/>
            <w:shd w:val="clear" w:color="auto" w:fill="FFFFFF" w:themeFill="background1"/>
          </w:tcPr>
          <w:p w14:paraId="0FD4F07A" w14:textId="2E9F62BC" w:rsidR="006C67A5" w:rsidRPr="008F26C8" w:rsidRDefault="00225FB6" w:rsidP="006C67A5">
            <w:pPr>
              <w:spacing w:after="0"/>
            </w:pPr>
            <w:r>
              <w:t>...</w:t>
            </w:r>
          </w:p>
        </w:tc>
        <w:tc>
          <w:tcPr>
            <w:tcW w:w="1275" w:type="dxa"/>
            <w:shd w:val="clear" w:color="auto" w:fill="FFFFFF" w:themeFill="background1"/>
          </w:tcPr>
          <w:p w14:paraId="771A4186" w14:textId="750C030B" w:rsidR="006C67A5" w:rsidRPr="008F26C8" w:rsidRDefault="00225FB6" w:rsidP="006C67A5">
            <w:pPr>
              <w:spacing w:after="0"/>
            </w:pPr>
            <w:r>
              <w:t>...</w:t>
            </w:r>
          </w:p>
        </w:tc>
        <w:tc>
          <w:tcPr>
            <w:tcW w:w="1566" w:type="dxa"/>
            <w:shd w:val="clear" w:color="auto" w:fill="FFFFFF" w:themeFill="background1"/>
          </w:tcPr>
          <w:p w14:paraId="45509D47" w14:textId="77777777" w:rsidR="006C67A5" w:rsidRPr="008F26C8" w:rsidRDefault="006C67A5" w:rsidP="008D6E04">
            <w:pPr>
              <w:spacing w:after="0"/>
            </w:pPr>
          </w:p>
        </w:tc>
      </w:tr>
      <w:tr w:rsidR="006C67A5" w:rsidRPr="008F26C8" w14:paraId="661D1282" w14:textId="77777777" w:rsidTr="00225FB6">
        <w:tc>
          <w:tcPr>
            <w:tcW w:w="559" w:type="dxa"/>
            <w:vMerge/>
            <w:vAlign w:val="center"/>
          </w:tcPr>
          <w:p w14:paraId="017E5164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/>
            <w:vAlign w:val="center"/>
          </w:tcPr>
          <w:p w14:paraId="66051D40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6D401BBB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4F74C76C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4E13690E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12" w:type="dxa"/>
          </w:tcPr>
          <w:p w14:paraId="59B20A5D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1E44682E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415D70BF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38BB2687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7EC1EC65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7096D959" w14:textId="77777777" w:rsidR="006C67A5" w:rsidRPr="008F26C8" w:rsidRDefault="006C67A5" w:rsidP="00BA3255">
            <w:pPr>
              <w:spacing w:after="0"/>
            </w:pPr>
          </w:p>
        </w:tc>
      </w:tr>
      <w:tr w:rsidR="006C67A5" w:rsidRPr="008F26C8" w14:paraId="06B97FC7" w14:textId="77777777" w:rsidTr="00225FB6">
        <w:tc>
          <w:tcPr>
            <w:tcW w:w="559" w:type="dxa"/>
            <w:vMerge/>
            <w:vAlign w:val="center"/>
          </w:tcPr>
          <w:p w14:paraId="045BE3B7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/>
            <w:vAlign w:val="center"/>
          </w:tcPr>
          <w:p w14:paraId="543B98D4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0D62E372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5BC4B81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43A96B74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12" w:type="dxa"/>
          </w:tcPr>
          <w:p w14:paraId="558C27F1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7CE52A7B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7E9B9A07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32710DBB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36289D45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4F262DD7" w14:textId="77777777" w:rsidR="006C67A5" w:rsidRPr="008F26C8" w:rsidRDefault="006C67A5" w:rsidP="00BA3255">
            <w:pPr>
              <w:spacing w:after="0"/>
            </w:pPr>
          </w:p>
        </w:tc>
      </w:tr>
      <w:tr w:rsidR="006C67A5" w:rsidRPr="008F26C8" w14:paraId="5FBB631C" w14:textId="77777777" w:rsidTr="00225FB6">
        <w:tc>
          <w:tcPr>
            <w:tcW w:w="559" w:type="dxa"/>
            <w:vMerge w:val="restart"/>
            <w:vAlign w:val="center"/>
          </w:tcPr>
          <w:p w14:paraId="1567B3A3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 w:val="restart"/>
            <w:vAlign w:val="center"/>
          </w:tcPr>
          <w:p w14:paraId="46632C7C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65AE7AB2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1A5DCD9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0316570A" w14:textId="77777777" w:rsidR="006C67A5" w:rsidRPr="008F26C8" w:rsidRDefault="006C67A5" w:rsidP="00433B0B">
            <w:pPr>
              <w:spacing w:after="0"/>
            </w:pPr>
          </w:p>
        </w:tc>
        <w:tc>
          <w:tcPr>
            <w:tcW w:w="1512" w:type="dxa"/>
          </w:tcPr>
          <w:p w14:paraId="0B15C4D2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5D2C69E2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BE6D96A" w14:textId="77777777" w:rsidR="006C67A5" w:rsidRPr="008F26C8" w:rsidRDefault="006C67A5" w:rsidP="00E35D26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322F654A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5F4DA10C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4028290B" w14:textId="77777777" w:rsidR="006C67A5" w:rsidRPr="008F26C8" w:rsidRDefault="006C67A5" w:rsidP="00BA3255">
            <w:pPr>
              <w:spacing w:after="0"/>
            </w:pPr>
          </w:p>
        </w:tc>
      </w:tr>
      <w:tr w:rsidR="006C67A5" w:rsidRPr="008F26C8" w14:paraId="69FC4CBB" w14:textId="77777777" w:rsidTr="00225FB6">
        <w:tc>
          <w:tcPr>
            <w:tcW w:w="559" w:type="dxa"/>
            <w:vMerge/>
            <w:vAlign w:val="center"/>
          </w:tcPr>
          <w:p w14:paraId="32D61A64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/>
            <w:vAlign w:val="center"/>
          </w:tcPr>
          <w:p w14:paraId="5ABF3369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74242F1D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B3061EC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A297445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12" w:type="dxa"/>
          </w:tcPr>
          <w:p w14:paraId="235E7D98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7B04F3E0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80CD968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6FFD162A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5B48299D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7A715CA6" w14:textId="77777777" w:rsidR="006C67A5" w:rsidRPr="008F26C8" w:rsidRDefault="006C67A5" w:rsidP="00BA3255">
            <w:pPr>
              <w:spacing w:after="0"/>
            </w:pPr>
          </w:p>
        </w:tc>
      </w:tr>
      <w:tr w:rsidR="006C67A5" w:rsidRPr="008F26C8" w14:paraId="50076B47" w14:textId="77777777" w:rsidTr="00225FB6">
        <w:tc>
          <w:tcPr>
            <w:tcW w:w="559" w:type="dxa"/>
            <w:vMerge/>
            <w:vAlign w:val="center"/>
          </w:tcPr>
          <w:p w14:paraId="0F1888AA" w14:textId="77777777" w:rsidR="006C67A5" w:rsidRPr="008F26C8" w:rsidRDefault="006C67A5" w:rsidP="000A4E5D">
            <w:pPr>
              <w:spacing w:after="0"/>
              <w:jc w:val="center"/>
            </w:pPr>
          </w:p>
        </w:tc>
        <w:tc>
          <w:tcPr>
            <w:tcW w:w="1284" w:type="dxa"/>
            <w:vMerge/>
            <w:vAlign w:val="center"/>
          </w:tcPr>
          <w:p w14:paraId="3B3F965C" w14:textId="77777777" w:rsidR="006C67A5" w:rsidRPr="008F26C8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11780E88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45D23958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CEEB8D1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12" w:type="dxa"/>
          </w:tcPr>
          <w:p w14:paraId="5D34E737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0" w:type="dxa"/>
          </w:tcPr>
          <w:p w14:paraId="51971926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2CAC9D6C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7520112C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6A3FB620" w14:textId="77777777" w:rsidR="006C67A5" w:rsidRPr="008F26C8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293ACE41" w14:textId="77777777" w:rsidR="006C67A5" w:rsidRPr="008F26C8" w:rsidRDefault="006C67A5" w:rsidP="00BA3255">
            <w:pPr>
              <w:spacing w:after="0"/>
            </w:pPr>
          </w:p>
        </w:tc>
      </w:tr>
    </w:tbl>
    <w:p w14:paraId="29000333" w14:textId="77777777" w:rsidR="00BA3255" w:rsidRPr="008F26C8" w:rsidRDefault="00BA3255" w:rsidP="00BA3255">
      <w:pPr>
        <w:spacing w:after="0"/>
      </w:pPr>
    </w:p>
    <w:p w14:paraId="008787F5" w14:textId="77777777" w:rsidR="008101D4" w:rsidRPr="008F26C8" w:rsidRDefault="008101D4" w:rsidP="00BA3255">
      <w:pPr>
        <w:spacing w:after="0"/>
      </w:pPr>
    </w:p>
    <w:p w14:paraId="3259FBEF" w14:textId="77777777" w:rsidR="00225FB6" w:rsidRDefault="00225FB6" w:rsidP="00225FB6">
      <w:pPr>
        <w:spacing w:after="0"/>
        <w:ind w:left="360"/>
        <w:jc w:val="center"/>
      </w:pPr>
      <w:r>
        <w:t>** ENDE DER KOSTENLOSEN VORSCHAU **</w:t>
      </w:r>
    </w:p>
    <w:p w14:paraId="4122D3E5" w14:textId="77777777" w:rsidR="00225FB6" w:rsidRDefault="00225FB6" w:rsidP="00225FB6">
      <w:pPr>
        <w:spacing w:after="0"/>
        <w:ind w:left="360"/>
        <w:jc w:val="center"/>
      </w:pPr>
    </w:p>
    <w:p w14:paraId="7027CA63" w14:textId="77777777" w:rsidR="00225FB6" w:rsidRDefault="00225FB6" w:rsidP="00225FB6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BE2F91">
          <w:rPr>
            <w:rStyle w:val="Hyperlink"/>
            <w:lang w:val="de-DE"/>
          </w:rPr>
          <w:t>https://advisera.com/14001academy/de/documentation/matrix-der-umweltleistung/</w:t>
        </w:r>
      </w:hyperlink>
      <w:r>
        <w:t xml:space="preserve"> </w:t>
      </w:r>
    </w:p>
    <w:p w14:paraId="387AA39E" w14:textId="339B9A98" w:rsidR="00BC6ED3" w:rsidRPr="00C9493A" w:rsidRDefault="00BC6ED3" w:rsidP="007731F8">
      <w:pPr>
        <w:spacing w:after="0"/>
      </w:pPr>
      <w:bookmarkStart w:id="2" w:name="_GoBack"/>
      <w:bookmarkEnd w:id="2"/>
    </w:p>
    <w:sectPr w:rsidR="00BC6ED3" w:rsidRPr="00C9493A" w:rsidSect="00967A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27T17:01:00Z" w:initials="14A">
    <w:p w14:paraId="074EA4FC" w14:textId="77777777" w:rsidR="001852EF" w:rsidRDefault="003D104C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3D104C">
        <w:rPr>
          <w:color w:val="000000" w:themeColor="text1"/>
        </w:rPr>
        <w:t xml:space="preserve">Wenn Sie mehr über die Messung der Umweltleistung erfahren möchten, siehe: </w:t>
      </w:r>
    </w:p>
    <w:p w14:paraId="22D6EBBB" w14:textId="77777777" w:rsidR="001852EF" w:rsidRDefault="001852EF">
      <w:pPr>
        <w:pStyle w:val="CommentText"/>
        <w:rPr>
          <w:color w:val="000000" w:themeColor="text1"/>
        </w:rPr>
      </w:pPr>
    </w:p>
    <w:p w14:paraId="57B0D097" w14:textId="593F1128" w:rsidR="003D104C" w:rsidRPr="003D104C" w:rsidRDefault="003D104C">
      <w:pPr>
        <w:pStyle w:val="CommentText"/>
        <w:rPr>
          <w:color w:val="000000" w:themeColor="text1"/>
        </w:rPr>
      </w:pPr>
      <w:r w:rsidRPr="003D104C">
        <w:rPr>
          <w:color w:val="000000" w:themeColor="text1"/>
        </w:rPr>
        <w:t xml:space="preserve">Environmental Performance Evaluation </w:t>
      </w:r>
      <w:hyperlink r:id="rId1" w:history="1">
        <w:r w:rsidR="001852EF" w:rsidRPr="00C95935">
          <w:rPr>
            <w:rStyle w:val="Hyperlink"/>
            <w:lang w:val="de-DE"/>
          </w:rPr>
          <w:t>http://advisera.com/14001academy/blog/2015/07/06/environmental-performance-evaluation/</w:t>
        </w:r>
      </w:hyperlink>
      <w:r w:rsidR="001852EF">
        <w:rPr>
          <w:color w:val="000000" w:themeColor="text1"/>
        </w:rPr>
        <w:t xml:space="preserve"> </w:t>
      </w:r>
    </w:p>
  </w:comment>
  <w:comment w:id="1" w:author="14001Academy" w:date="2014-12-19T14:59:00Z" w:initials="14A">
    <w:p w14:paraId="353F24B2" w14:textId="77777777" w:rsidR="00033C77" w:rsidRPr="008F26C8" w:rsidRDefault="00033C77">
      <w:pPr>
        <w:pStyle w:val="CommentText"/>
      </w:pPr>
      <w:r w:rsidRPr="008F26C8">
        <w:rPr>
          <w:rStyle w:val="CommentReference"/>
          <w:lang w:val="de-DE"/>
        </w:rPr>
        <w:annotationRef/>
      </w:r>
      <w:r w:rsidR="008E53CD" w:rsidRPr="006C31E6">
        <w:t xml:space="preserve"> </w:t>
      </w:r>
      <w:r w:rsidRPr="008F26C8">
        <w:t xml:space="preserve">EPE </w:t>
      </w:r>
      <w:r w:rsidR="005326C3" w:rsidRPr="008F26C8">
        <w:t>–</w:t>
      </w:r>
      <w:r w:rsidRPr="008F26C8">
        <w:t xml:space="preserve"> </w:t>
      </w:r>
      <w:r w:rsidR="005326C3" w:rsidRPr="008F26C8">
        <w:t>Environment Performance Evaluation</w:t>
      </w:r>
      <w:r w:rsidR="00032EAD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B0D097" w15:done="0"/>
  <w15:commentEx w15:paraId="353F24B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3008C" w14:textId="77777777" w:rsidR="00276E3F" w:rsidRDefault="00276E3F" w:rsidP="00BC6ED3">
      <w:pPr>
        <w:spacing w:after="0" w:line="240" w:lineRule="auto"/>
      </w:pPr>
      <w:r>
        <w:separator/>
      </w:r>
    </w:p>
  </w:endnote>
  <w:endnote w:type="continuationSeparator" w:id="0">
    <w:p w14:paraId="48876163" w14:textId="77777777" w:rsidR="00276E3F" w:rsidRDefault="00276E3F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DC6EB" w14:textId="77777777" w:rsidR="003D3C0A" w:rsidRDefault="003D3C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7141102E" w14:textId="77777777" w:rsidTr="00967A62">
      <w:tc>
        <w:tcPr>
          <w:tcW w:w="4716" w:type="dxa"/>
        </w:tcPr>
        <w:p w14:paraId="72F764A9" w14:textId="77777777" w:rsidR="0059132A" w:rsidRPr="00C9493A" w:rsidRDefault="0059132A" w:rsidP="00C9493A">
          <w:pPr>
            <w:pStyle w:val="Footer"/>
            <w:rPr>
              <w:sz w:val="18"/>
            </w:rPr>
          </w:pPr>
          <w:r w:rsidRPr="00C9493A">
            <w:rPr>
              <w:sz w:val="18"/>
            </w:rPr>
            <w:t>A</w:t>
          </w:r>
          <w:r w:rsidR="00C9493A" w:rsidRPr="00C9493A">
            <w:rPr>
              <w:sz w:val="18"/>
            </w:rPr>
            <w:t>nhang</w:t>
          </w:r>
          <w:r w:rsidRPr="00C9493A">
            <w:rPr>
              <w:sz w:val="18"/>
            </w:rPr>
            <w:t xml:space="preserve"> 1 </w:t>
          </w:r>
          <w:r w:rsidR="009101E0" w:rsidRPr="009101E0">
            <w:rPr>
              <w:sz w:val="18"/>
            </w:rPr>
            <w:t>–</w:t>
          </w:r>
          <w:r w:rsidRPr="00C9493A">
            <w:rPr>
              <w:sz w:val="18"/>
            </w:rPr>
            <w:t xml:space="preserve"> Matrix </w:t>
          </w:r>
          <w:r w:rsidR="00C9493A" w:rsidRPr="00C9493A">
            <w:rPr>
              <w:sz w:val="18"/>
            </w:rPr>
            <w:t xml:space="preserve">der Umweltleistung </w:t>
          </w:r>
        </w:p>
      </w:tc>
      <w:tc>
        <w:tcPr>
          <w:tcW w:w="4716" w:type="dxa"/>
        </w:tcPr>
        <w:p w14:paraId="17DD9D1C" w14:textId="77777777" w:rsidR="00BC6ED3" w:rsidRPr="00EC1040" w:rsidRDefault="00C9493A" w:rsidP="00C9493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EC1040" w:rsidRPr="00EC1040">
            <w:rPr>
              <w:sz w:val="18"/>
            </w:rPr>
            <w:t>er.</w:t>
          </w:r>
          <w:r>
            <w:rPr>
              <w:sz w:val="18"/>
            </w:rPr>
            <w:t xml:space="preserve"> [V</w:t>
          </w:r>
          <w:r w:rsidR="00BC6ED3" w:rsidRPr="00EC1040">
            <w:rPr>
              <w:sz w:val="18"/>
            </w:rPr>
            <w:t xml:space="preserve">ersion] </w:t>
          </w:r>
          <w:r>
            <w:rPr>
              <w:sz w:val="18"/>
            </w:rPr>
            <w:t>vom</w:t>
          </w:r>
          <w:r w:rsidR="00BC6ED3" w:rsidRPr="00EC1040">
            <w:rPr>
              <w:sz w:val="18"/>
            </w:rPr>
            <w:t xml:space="preserve"> [</w:t>
          </w:r>
          <w:r>
            <w:rPr>
              <w:sz w:val="18"/>
            </w:rPr>
            <w:t>Datum</w:t>
          </w:r>
          <w:r w:rsidR="00BC6ED3" w:rsidRPr="00EC1040">
            <w:rPr>
              <w:sz w:val="18"/>
            </w:rPr>
            <w:t>]</w:t>
          </w:r>
        </w:p>
      </w:tc>
      <w:tc>
        <w:tcPr>
          <w:tcW w:w="4716" w:type="dxa"/>
        </w:tcPr>
        <w:p w14:paraId="2BE0FC70" w14:textId="4BE9249D" w:rsidR="00BC6ED3" w:rsidRPr="00EC1040" w:rsidRDefault="00C9493A" w:rsidP="00C9493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C6ED3" w:rsidRPr="00EC1040">
            <w:rPr>
              <w:sz w:val="18"/>
            </w:rPr>
            <w:t xml:space="preserve"> </w:t>
          </w:r>
          <w:r w:rsidR="00262852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PAGE </w:instrText>
          </w:r>
          <w:r w:rsidR="00262852" w:rsidRPr="00EC1040">
            <w:rPr>
              <w:b/>
              <w:sz w:val="18"/>
            </w:rPr>
            <w:fldChar w:fldCharType="separate"/>
          </w:r>
          <w:r w:rsidR="00225FB6">
            <w:rPr>
              <w:b/>
              <w:noProof/>
              <w:sz w:val="18"/>
            </w:rPr>
            <w:t>1</w:t>
          </w:r>
          <w:r w:rsidR="00262852" w:rsidRPr="00EC1040">
            <w:rPr>
              <w:b/>
              <w:sz w:val="18"/>
            </w:rPr>
            <w:fldChar w:fldCharType="end"/>
          </w:r>
          <w:r w:rsidR="00BC6ED3" w:rsidRPr="00EC1040">
            <w:rPr>
              <w:sz w:val="18"/>
            </w:rPr>
            <w:t xml:space="preserve"> </w:t>
          </w:r>
          <w:r>
            <w:rPr>
              <w:sz w:val="18"/>
            </w:rPr>
            <w:t>von</w:t>
          </w:r>
          <w:r w:rsidR="00BC6ED3" w:rsidRPr="00EC1040">
            <w:rPr>
              <w:sz w:val="18"/>
            </w:rPr>
            <w:t xml:space="preserve"> </w:t>
          </w:r>
          <w:r w:rsidR="00262852" w:rsidRPr="00EC1040">
            <w:rPr>
              <w:b/>
              <w:sz w:val="18"/>
            </w:rPr>
            <w:fldChar w:fldCharType="begin"/>
          </w:r>
          <w:r w:rsidR="00BC6ED3" w:rsidRPr="00EC1040">
            <w:rPr>
              <w:b/>
              <w:sz w:val="18"/>
            </w:rPr>
            <w:instrText xml:space="preserve"> NUMPAGES  </w:instrText>
          </w:r>
          <w:r w:rsidR="00262852" w:rsidRPr="00EC1040">
            <w:rPr>
              <w:b/>
              <w:sz w:val="18"/>
            </w:rPr>
            <w:fldChar w:fldCharType="separate"/>
          </w:r>
          <w:r w:rsidR="00225FB6">
            <w:rPr>
              <w:b/>
              <w:noProof/>
              <w:sz w:val="18"/>
            </w:rPr>
            <w:t>1</w:t>
          </w:r>
          <w:r w:rsidR="00262852" w:rsidRPr="00EC1040">
            <w:rPr>
              <w:b/>
              <w:sz w:val="18"/>
            </w:rPr>
            <w:fldChar w:fldCharType="end"/>
          </w:r>
        </w:p>
      </w:tc>
    </w:tr>
  </w:tbl>
  <w:p w14:paraId="68169717" w14:textId="0C6B7AD9" w:rsidR="00C9493A" w:rsidRPr="0088676C" w:rsidRDefault="00C9493A" w:rsidP="00C9493A">
    <w:pPr>
      <w:pStyle w:val="Footer"/>
      <w:jc w:val="center"/>
    </w:pPr>
    <w:r>
      <w:rPr>
        <w:sz w:val="16"/>
      </w:rPr>
      <w:t>©201</w:t>
    </w:r>
    <w:r w:rsidR="003D3C0A">
      <w:rPr>
        <w:sz w:val="16"/>
      </w:rPr>
      <w:t>7</w:t>
    </w:r>
    <w:r>
      <w:rPr>
        <w:sz w:val="16"/>
      </w:rPr>
      <w:t xml:space="preserve"> Diese Vorlage kann von Kunden von </w:t>
    </w:r>
    <w:r w:rsidR="00596807">
      <w:rPr>
        <w:sz w:val="16"/>
      </w:rPr>
      <w:t>Advisera Expert Solutions</w:t>
    </w:r>
    <w:r>
      <w:rPr>
        <w:sz w:val="16"/>
      </w:rPr>
      <w:t xml:space="preserve"> Ltd. www.</w:t>
    </w:r>
    <w:r w:rsidR="006C31E6">
      <w:rPr>
        <w:sz w:val="16"/>
      </w:rPr>
      <w:t>advisera</w:t>
    </w:r>
    <w:r>
      <w:rPr>
        <w:sz w:val="16"/>
      </w:rPr>
      <w:t>.com gemäß der Lizenzvereinbarung verwendet werden.</w:t>
    </w:r>
  </w:p>
  <w:p w14:paraId="45AF3A3A" w14:textId="77777777" w:rsidR="00BC6ED3" w:rsidRPr="00C9493A" w:rsidRDefault="00BC6ED3" w:rsidP="00C9493A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54D5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9493A">
      <w:rPr>
        <w:sz w:val="16"/>
        <w:lang w:val="en-US"/>
      </w:rPr>
      <w:t xml:space="preserve">©2010 This template may be used by clients of EPPS Services Ltd. </w:t>
    </w:r>
    <w:r w:rsidR="008E6E49">
      <w:fldChar w:fldCharType="begin"/>
    </w:r>
    <w:r w:rsidR="008E6E49" w:rsidRPr="001852EF">
      <w:rPr>
        <w:lang w:val="en-US"/>
        <w:rPrChange w:id="3" w:author="14001Academy" w:date="2017-08-22T16:15:00Z">
          <w:rPr/>
        </w:rPrChange>
      </w:rPr>
      <w:instrText xml:space="preserve"> HYPERLINK "http://www.iso27001standard.com" </w:instrText>
    </w:r>
    <w:r w:rsidR="008E6E49">
      <w:fldChar w:fldCharType="separate"/>
    </w:r>
    <w:r>
      <w:rPr>
        <w:rStyle w:val="Hyperlink"/>
        <w:sz w:val="16"/>
      </w:rPr>
      <w:t>www.iso27001standard.com</w:t>
    </w:r>
    <w:r w:rsidR="008E6E49">
      <w:rPr>
        <w:rStyle w:val="Hyperlink"/>
        <w:sz w:val="16"/>
      </w:rPr>
      <w:fldChar w:fldCharType="end"/>
    </w:r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5F9E8" w14:textId="77777777" w:rsidR="00276E3F" w:rsidRDefault="00276E3F" w:rsidP="00BC6ED3">
      <w:pPr>
        <w:spacing w:after="0" w:line="240" w:lineRule="auto"/>
      </w:pPr>
      <w:r>
        <w:separator/>
      </w:r>
    </w:p>
  </w:footnote>
  <w:footnote w:type="continuationSeparator" w:id="0">
    <w:p w14:paraId="210EE9D5" w14:textId="77777777" w:rsidR="00276E3F" w:rsidRDefault="00276E3F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90564" w14:textId="77777777" w:rsidR="003D3C0A" w:rsidRDefault="003D3C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7BDF5B53" w14:textId="77777777" w:rsidTr="00967A62">
      <w:trPr>
        <w:trHeight w:val="321"/>
      </w:trPr>
      <w:tc>
        <w:tcPr>
          <w:tcW w:w="10299" w:type="dxa"/>
        </w:tcPr>
        <w:p w14:paraId="2EEEE7E2" w14:textId="77777777" w:rsidR="00BC6ED3" w:rsidRPr="00F6751A" w:rsidRDefault="00BC6ED3" w:rsidP="00C949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9493A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3828" w:type="dxa"/>
        </w:tcPr>
        <w:p w14:paraId="1E429874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2BF8067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F325" w14:textId="77777777" w:rsidR="003D3C0A" w:rsidRDefault="003D3C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2EAD"/>
    <w:rsid w:val="00033C77"/>
    <w:rsid w:val="0003459B"/>
    <w:rsid w:val="00054BE6"/>
    <w:rsid w:val="00082359"/>
    <w:rsid w:val="00086C45"/>
    <w:rsid w:val="00087E8B"/>
    <w:rsid w:val="000A275D"/>
    <w:rsid w:val="000A4E5D"/>
    <w:rsid w:val="000B7D08"/>
    <w:rsid w:val="001775EB"/>
    <w:rsid w:val="00177AFB"/>
    <w:rsid w:val="001852EF"/>
    <w:rsid w:val="00186C91"/>
    <w:rsid w:val="00187E47"/>
    <w:rsid w:val="001A6112"/>
    <w:rsid w:val="001C5DF6"/>
    <w:rsid w:val="001E53FF"/>
    <w:rsid w:val="00212FB7"/>
    <w:rsid w:val="00217C15"/>
    <w:rsid w:val="00225FB6"/>
    <w:rsid w:val="0023194E"/>
    <w:rsid w:val="00262852"/>
    <w:rsid w:val="002657A2"/>
    <w:rsid w:val="002711D4"/>
    <w:rsid w:val="00276E3F"/>
    <w:rsid w:val="002C1817"/>
    <w:rsid w:val="002D0DCB"/>
    <w:rsid w:val="00321279"/>
    <w:rsid w:val="00352731"/>
    <w:rsid w:val="003B0BC3"/>
    <w:rsid w:val="003D104C"/>
    <w:rsid w:val="003D3C0A"/>
    <w:rsid w:val="003E61CE"/>
    <w:rsid w:val="0040705C"/>
    <w:rsid w:val="004266EA"/>
    <w:rsid w:val="00433B0B"/>
    <w:rsid w:val="005326C3"/>
    <w:rsid w:val="005710BB"/>
    <w:rsid w:val="0057562D"/>
    <w:rsid w:val="0059132A"/>
    <w:rsid w:val="00596807"/>
    <w:rsid w:val="005A6826"/>
    <w:rsid w:val="005D100D"/>
    <w:rsid w:val="006274CC"/>
    <w:rsid w:val="00640F35"/>
    <w:rsid w:val="00655045"/>
    <w:rsid w:val="00691F57"/>
    <w:rsid w:val="006A08E8"/>
    <w:rsid w:val="006A4C6F"/>
    <w:rsid w:val="006C31E6"/>
    <w:rsid w:val="006C3D90"/>
    <w:rsid w:val="006C67A5"/>
    <w:rsid w:val="006D0872"/>
    <w:rsid w:val="00725241"/>
    <w:rsid w:val="00747A0B"/>
    <w:rsid w:val="007705D5"/>
    <w:rsid w:val="007731F8"/>
    <w:rsid w:val="007838F4"/>
    <w:rsid w:val="00786D0F"/>
    <w:rsid w:val="00791C91"/>
    <w:rsid w:val="0079401C"/>
    <w:rsid w:val="007955CD"/>
    <w:rsid w:val="007955DD"/>
    <w:rsid w:val="007D0505"/>
    <w:rsid w:val="008037DE"/>
    <w:rsid w:val="008101D4"/>
    <w:rsid w:val="0081662D"/>
    <w:rsid w:val="008512C9"/>
    <w:rsid w:val="0089533C"/>
    <w:rsid w:val="008C60E9"/>
    <w:rsid w:val="008D4091"/>
    <w:rsid w:val="008D6E04"/>
    <w:rsid w:val="008E53CD"/>
    <w:rsid w:val="008E6903"/>
    <w:rsid w:val="008E6E49"/>
    <w:rsid w:val="008F26C8"/>
    <w:rsid w:val="009101E0"/>
    <w:rsid w:val="009231CD"/>
    <w:rsid w:val="00923B66"/>
    <w:rsid w:val="00927DFD"/>
    <w:rsid w:val="009345E5"/>
    <w:rsid w:val="009518D7"/>
    <w:rsid w:val="009607CD"/>
    <w:rsid w:val="00967A62"/>
    <w:rsid w:val="00A21658"/>
    <w:rsid w:val="00A3068F"/>
    <w:rsid w:val="00A354CD"/>
    <w:rsid w:val="00A35B04"/>
    <w:rsid w:val="00A432AA"/>
    <w:rsid w:val="00A811C6"/>
    <w:rsid w:val="00AD308A"/>
    <w:rsid w:val="00AE477F"/>
    <w:rsid w:val="00B00B58"/>
    <w:rsid w:val="00B044E1"/>
    <w:rsid w:val="00B10A34"/>
    <w:rsid w:val="00B36D4D"/>
    <w:rsid w:val="00B640EE"/>
    <w:rsid w:val="00BA3255"/>
    <w:rsid w:val="00BC6ED3"/>
    <w:rsid w:val="00BF777A"/>
    <w:rsid w:val="00C52722"/>
    <w:rsid w:val="00C7779B"/>
    <w:rsid w:val="00C944C7"/>
    <w:rsid w:val="00C9493A"/>
    <w:rsid w:val="00CB17E8"/>
    <w:rsid w:val="00CB5C08"/>
    <w:rsid w:val="00D149B5"/>
    <w:rsid w:val="00D14F65"/>
    <w:rsid w:val="00D15D18"/>
    <w:rsid w:val="00D33CC8"/>
    <w:rsid w:val="00D74CC1"/>
    <w:rsid w:val="00DA308E"/>
    <w:rsid w:val="00DD0182"/>
    <w:rsid w:val="00E05571"/>
    <w:rsid w:val="00E12C6A"/>
    <w:rsid w:val="00E151D6"/>
    <w:rsid w:val="00E35D26"/>
    <w:rsid w:val="00E5340C"/>
    <w:rsid w:val="00E54336"/>
    <w:rsid w:val="00E619D9"/>
    <w:rsid w:val="00E63E42"/>
    <w:rsid w:val="00EB2252"/>
    <w:rsid w:val="00EB4652"/>
    <w:rsid w:val="00EC1040"/>
    <w:rsid w:val="00EC38EC"/>
    <w:rsid w:val="00EE397F"/>
    <w:rsid w:val="00EF3B38"/>
    <w:rsid w:val="00F327D8"/>
    <w:rsid w:val="00F36FA2"/>
    <w:rsid w:val="00FA2D40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CBD54"/>
  <w15:docId w15:val="{6D6B3A9E-0A50-40AB-BB30-CC888F6F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9101E0"/>
    <w:rPr>
      <w:sz w:val="22"/>
      <w:szCs w:val="22"/>
      <w:lang w:val="de-DE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68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7/06/environmental-performance-evaluat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14001academy/de/documentation/matrix-der-umweltleistu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0CD06-B2B3-4BEF-B12C-3B6F6C0B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Anhang 1 - Matrix der Umweltleistung</vt:lpstr>
      <vt:lpstr>Anhang 1 - Matrix der Umweltleistung</vt:lpstr>
      <vt:lpstr>Anhang 1 - Matrix der Umweltleistung</vt:lpstr>
      <vt:lpstr>Appendix 2 - Recovery Priorities for Activities</vt:lpstr>
    </vt:vector>
  </TitlesOfParts>
  <Company>Advisera Expert Solutions Ltd</Company>
  <LinksUpToDate>false</LinksUpToDate>
  <CharactersWithSpaces>665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1 - Matrix der Umweltleistung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5</cp:revision>
  <dcterms:created xsi:type="dcterms:W3CDTF">2017-03-16T02:08:00Z</dcterms:created>
  <dcterms:modified xsi:type="dcterms:W3CDTF">2017-10-26T15:22:00Z</dcterms:modified>
</cp:coreProperties>
</file>