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6427E" w14:textId="77777777" w:rsidR="00CE6770" w:rsidRDefault="00E52756" w:rsidP="00CE6770">
      <w:pPr>
        <w:rPr>
          <w:b/>
          <w:sz w:val="28"/>
          <w:szCs w:val="28"/>
        </w:rPr>
      </w:pPr>
      <w:r w:rsidRPr="00EF5EEA">
        <w:rPr>
          <w:b/>
          <w:sz w:val="28"/>
          <w:szCs w:val="28"/>
        </w:rPr>
        <w:t>A</w:t>
      </w:r>
      <w:r w:rsidR="0097231D" w:rsidRPr="00EF5EEA">
        <w:rPr>
          <w:b/>
          <w:sz w:val="28"/>
          <w:szCs w:val="28"/>
        </w:rPr>
        <w:t>nhang</w:t>
      </w:r>
      <w:r w:rsidRPr="00EF5EEA">
        <w:rPr>
          <w:b/>
          <w:sz w:val="28"/>
          <w:szCs w:val="28"/>
        </w:rPr>
        <w:t xml:space="preserve"> </w:t>
      </w:r>
      <w:r w:rsidR="0004171E" w:rsidRPr="00EF5EEA">
        <w:rPr>
          <w:b/>
          <w:sz w:val="28"/>
          <w:szCs w:val="28"/>
        </w:rPr>
        <w:t>2</w:t>
      </w:r>
      <w:r w:rsidRPr="00EF5EEA">
        <w:rPr>
          <w:b/>
          <w:sz w:val="28"/>
          <w:szCs w:val="28"/>
        </w:rPr>
        <w:t xml:space="preserve"> – </w:t>
      </w:r>
      <w:r w:rsidR="0097231D" w:rsidRPr="00EF5EEA">
        <w:rPr>
          <w:b/>
          <w:sz w:val="28"/>
          <w:szCs w:val="28"/>
        </w:rPr>
        <w:t>Bericht</w:t>
      </w:r>
      <w:r w:rsidR="00F76049" w:rsidRPr="00F76049">
        <w:t xml:space="preserve"> </w:t>
      </w:r>
      <w:r w:rsidR="00F76049" w:rsidRPr="00F76049">
        <w:rPr>
          <w:b/>
          <w:sz w:val="28"/>
          <w:szCs w:val="28"/>
        </w:rPr>
        <w:t>Datenanalyse</w:t>
      </w:r>
    </w:p>
    <w:p w14:paraId="29FE7D12" w14:textId="79AF5FEA" w:rsidR="003169CC" w:rsidRPr="003169CC" w:rsidRDefault="003169CC" w:rsidP="003169CC">
      <w:pPr>
        <w:jc w:val="center"/>
        <w:rPr>
          <w:rFonts w:eastAsia="Times New Roman"/>
        </w:rPr>
      </w:pPr>
      <w:r w:rsidRPr="003169CC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8"/>
      </w:tblGrid>
      <w:tr w:rsidR="00B67D6A" w:rsidRPr="00EF5EEA" w14:paraId="03A73079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3D01A86D" w14:textId="1D6A7EAA" w:rsidR="00B67D6A" w:rsidRPr="00EF5EEA" w:rsidRDefault="003169CC" w:rsidP="00B67D6A">
            <w:r>
              <w:t>...</w:t>
            </w:r>
          </w:p>
        </w:tc>
      </w:tr>
      <w:tr w:rsidR="00B67D6A" w:rsidRPr="00EF5EEA" w14:paraId="25084BFB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3FFB4163" w14:textId="77777777" w:rsidR="00B67D6A" w:rsidRPr="00EF5EEA" w:rsidRDefault="00B67D6A" w:rsidP="0097231D">
            <w:r w:rsidRPr="00EF5EEA">
              <w:t>a)</w:t>
            </w:r>
            <w:r w:rsidR="00F76049">
              <w:t xml:space="preserve"> </w:t>
            </w:r>
            <w:commentRangeStart w:id="0"/>
            <w:r w:rsidRPr="00EF5EEA">
              <w:t>Analys</w:t>
            </w:r>
            <w:r w:rsidR="0097231D" w:rsidRPr="00EF5EEA">
              <w:t xml:space="preserve">e der Management-Leistungsindikatoren </w:t>
            </w:r>
            <w:r w:rsidRPr="00EF5EEA">
              <w:t>(MPI)</w:t>
            </w:r>
            <w:commentRangeEnd w:id="0"/>
            <w:r w:rsidRPr="00EF5EEA">
              <w:rPr>
                <w:rStyle w:val="CommentReference"/>
                <w:lang w:val="de-DE"/>
              </w:rPr>
              <w:commentReference w:id="0"/>
            </w:r>
            <w:r w:rsidR="00583DBC" w:rsidRPr="00EF5EEA">
              <w:t xml:space="preserve"> </w:t>
            </w:r>
          </w:p>
        </w:tc>
      </w:tr>
      <w:tr w:rsidR="00B67D6A" w:rsidRPr="00EF5EEA" w14:paraId="3AD8A3D2" w14:textId="77777777" w:rsidTr="006E5334">
        <w:tc>
          <w:tcPr>
            <w:tcW w:w="8928" w:type="dxa"/>
          </w:tcPr>
          <w:p w14:paraId="4A57ADEE" w14:textId="77777777" w:rsidR="00B67D6A" w:rsidRPr="00EF5EEA" w:rsidRDefault="00B67D6A" w:rsidP="006E5334"/>
          <w:p w14:paraId="20B863D2" w14:textId="77777777" w:rsidR="00B67D6A" w:rsidRPr="00EF5EEA" w:rsidRDefault="00B67D6A" w:rsidP="006E5334"/>
          <w:p w14:paraId="5CDA3964" w14:textId="77777777" w:rsidR="00B67D6A" w:rsidRPr="00EF5EEA" w:rsidRDefault="00B67D6A" w:rsidP="006E5334"/>
        </w:tc>
      </w:tr>
      <w:tr w:rsidR="00B67D6A" w:rsidRPr="00EF5EEA" w14:paraId="4D2BA6AA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241177BF" w14:textId="6F0A49A4" w:rsidR="00B67D6A" w:rsidRPr="00EF5EEA" w:rsidRDefault="003169CC" w:rsidP="0097231D">
            <w:r>
              <w:t>...</w:t>
            </w:r>
          </w:p>
        </w:tc>
      </w:tr>
      <w:tr w:rsidR="00B67D6A" w:rsidRPr="00EF5EEA" w14:paraId="1B0D8244" w14:textId="77777777" w:rsidTr="006E5334">
        <w:tc>
          <w:tcPr>
            <w:tcW w:w="8928" w:type="dxa"/>
          </w:tcPr>
          <w:p w14:paraId="1EA59E27" w14:textId="77777777" w:rsidR="00B67D6A" w:rsidRPr="00EF5EEA" w:rsidRDefault="00B67D6A" w:rsidP="006E5334"/>
          <w:p w14:paraId="52B10234" w14:textId="77777777" w:rsidR="00B67D6A" w:rsidRPr="00EF5EEA" w:rsidRDefault="00B67D6A" w:rsidP="006E5334"/>
          <w:p w14:paraId="6BAE5C08" w14:textId="77777777" w:rsidR="00B67D6A" w:rsidRPr="00EF5EEA" w:rsidRDefault="00B67D6A" w:rsidP="006E5334"/>
        </w:tc>
      </w:tr>
      <w:tr w:rsidR="00B67D6A" w:rsidRPr="00EF5EEA" w14:paraId="0C02A5B3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704B18C8" w14:textId="77777777" w:rsidR="00B67D6A" w:rsidRPr="00EF5EEA" w:rsidRDefault="00B67D6A" w:rsidP="00F76049">
            <w:r w:rsidRPr="00EF5EEA">
              <w:t>c)</w:t>
            </w:r>
            <w:r w:rsidR="00BB5E7C" w:rsidRPr="00EF5EEA">
              <w:t xml:space="preserve"> </w:t>
            </w:r>
            <w:commentRangeStart w:id="1"/>
            <w:r w:rsidR="00C62F93" w:rsidRPr="00EF5EEA">
              <w:t xml:space="preserve">Erfüllung der Anforderungen interessierter </w:t>
            </w:r>
            <w:r w:rsidR="00F76049">
              <w:t>Parteien</w:t>
            </w:r>
            <w:r w:rsidR="00C62F93" w:rsidRPr="00EF5EEA">
              <w:t>:</w:t>
            </w:r>
            <w:r w:rsidRPr="00EF5EEA">
              <w:t xml:space="preserve"> </w:t>
            </w:r>
            <w:commentRangeEnd w:id="1"/>
            <w:r w:rsidR="00BB5E7C" w:rsidRPr="00EF5EEA">
              <w:rPr>
                <w:rStyle w:val="CommentReference"/>
                <w:lang w:val="de-DE"/>
              </w:rPr>
              <w:commentReference w:id="1"/>
            </w:r>
            <w:r w:rsidR="00583DBC" w:rsidRPr="00EF5EEA">
              <w:t xml:space="preserve"> </w:t>
            </w:r>
          </w:p>
        </w:tc>
      </w:tr>
      <w:tr w:rsidR="00B67D6A" w:rsidRPr="00EF5EEA" w14:paraId="582A7CBB" w14:textId="77777777" w:rsidTr="006E5334">
        <w:tc>
          <w:tcPr>
            <w:tcW w:w="8928" w:type="dxa"/>
            <w:shd w:val="clear" w:color="auto" w:fill="auto"/>
          </w:tcPr>
          <w:p w14:paraId="5C9B6D03" w14:textId="77777777" w:rsidR="00B67D6A" w:rsidRPr="00EF5EEA" w:rsidRDefault="00B67D6A" w:rsidP="006E5334"/>
          <w:p w14:paraId="51B1F3A4" w14:textId="77777777" w:rsidR="00B67D6A" w:rsidRPr="00EF5EEA" w:rsidRDefault="00B67D6A" w:rsidP="006E5334"/>
          <w:p w14:paraId="32DCB578" w14:textId="77777777" w:rsidR="00B67D6A" w:rsidRPr="00EF5EEA" w:rsidRDefault="00B67D6A" w:rsidP="006E5334"/>
        </w:tc>
      </w:tr>
      <w:tr w:rsidR="00B67D6A" w:rsidRPr="00EF5EEA" w14:paraId="27CDBC88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70FFFE5A" w14:textId="603BD5F4" w:rsidR="00B67D6A" w:rsidRPr="00EF5EEA" w:rsidRDefault="003169CC" w:rsidP="00C62F93">
            <w:r>
              <w:t>...</w:t>
            </w:r>
          </w:p>
        </w:tc>
      </w:tr>
      <w:tr w:rsidR="00B67D6A" w:rsidRPr="00EF5EEA" w14:paraId="1BAC1484" w14:textId="77777777" w:rsidTr="006E5334">
        <w:tc>
          <w:tcPr>
            <w:tcW w:w="8928" w:type="dxa"/>
          </w:tcPr>
          <w:p w14:paraId="1AC66E5F" w14:textId="77777777" w:rsidR="00B67D6A" w:rsidRPr="00EF5EEA" w:rsidRDefault="00B67D6A" w:rsidP="006E5334"/>
          <w:p w14:paraId="4984F87F" w14:textId="77777777" w:rsidR="00B67D6A" w:rsidRPr="00EF5EEA" w:rsidRDefault="00B67D6A" w:rsidP="006E5334"/>
          <w:p w14:paraId="0D3DECA4" w14:textId="77777777" w:rsidR="00B67D6A" w:rsidRPr="00EF5EEA" w:rsidRDefault="00B67D6A" w:rsidP="006E5334"/>
        </w:tc>
      </w:tr>
    </w:tbl>
    <w:p w14:paraId="5D23C5F6" w14:textId="77777777" w:rsidR="003169CC" w:rsidRDefault="003169CC" w:rsidP="003169CC">
      <w:pPr>
        <w:rPr>
          <w:sz w:val="28"/>
          <w:szCs w:val="28"/>
        </w:rPr>
      </w:pPr>
      <w:bookmarkStart w:id="2" w:name="_GoBack"/>
      <w:bookmarkEnd w:id="2"/>
    </w:p>
    <w:p w14:paraId="406E4F40" w14:textId="77777777" w:rsidR="003169CC" w:rsidRPr="00E62D5B" w:rsidRDefault="003169CC" w:rsidP="003169CC">
      <w:pPr>
        <w:spacing w:after="0"/>
        <w:jc w:val="center"/>
        <w:rPr>
          <w:rFonts w:eastAsia="Times New Roman"/>
        </w:rPr>
      </w:pPr>
      <w:r w:rsidRPr="00E62D5B">
        <w:rPr>
          <w:rFonts w:eastAsia="Times New Roman"/>
        </w:rPr>
        <w:t>** ENDE DER KOSTENLOSEN VORSCHAU **</w:t>
      </w:r>
    </w:p>
    <w:p w14:paraId="62E32D27" w14:textId="77777777" w:rsidR="003169CC" w:rsidRPr="00E62D5B" w:rsidRDefault="003169CC" w:rsidP="003169CC">
      <w:pPr>
        <w:spacing w:after="0"/>
        <w:rPr>
          <w:rFonts w:eastAsia="Times New Roman"/>
        </w:rPr>
      </w:pPr>
    </w:p>
    <w:p w14:paraId="40482861" w14:textId="77777777" w:rsidR="003169CC" w:rsidRPr="00C85591" w:rsidRDefault="003169CC" w:rsidP="003169CC">
      <w:pPr>
        <w:jc w:val="center"/>
      </w:pPr>
      <w:r w:rsidRPr="00E62D5B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http://advisera.com/14001academy/de/documentation/datenanalyse-bericht/</w:t>
          </w:r>
        </w:hyperlink>
      </w:hyperlink>
    </w:p>
    <w:p w14:paraId="7024CEB1" w14:textId="730B7A2B" w:rsidR="00CE6770" w:rsidRPr="00C85591" w:rsidRDefault="00CE6770" w:rsidP="000E2189">
      <w:pPr>
        <w:spacing w:after="0"/>
      </w:pPr>
    </w:p>
    <w:sectPr w:rsidR="00CE6770" w:rsidRPr="00C85591" w:rsidSect="0004171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7T16:12:00Z" w:initials="14A">
    <w:p w14:paraId="23C077E5" w14:textId="77777777" w:rsidR="00B67D6A" w:rsidRPr="002B3C8F" w:rsidRDefault="00B67D6A">
      <w:pPr>
        <w:pStyle w:val="CommentText"/>
      </w:pPr>
      <w:r w:rsidRPr="002B3C8F">
        <w:rPr>
          <w:rStyle w:val="CommentReference"/>
          <w:lang w:val="de-DE"/>
        </w:rPr>
        <w:annotationRef/>
      </w:r>
      <w:r w:rsidR="009D39F7" w:rsidRPr="002B3C8F">
        <w:t xml:space="preserve">Diese Analyse demonstriert das Engagement des Managements für Folgendes: </w:t>
      </w:r>
    </w:p>
    <w:p w14:paraId="02328C6F" w14:textId="79A96819" w:rsidR="00AA348F" w:rsidRPr="002B3C8F" w:rsidRDefault="00B002DC" w:rsidP="003169CC">
      <w:pPr>
        <w:pStyle w:val="CommentText"/>
        <w:numPr>
          <w:ilvl w:val="0"/>
          <w:numId w:val="18"/>
        </w:numPr>
      </w:pPr>
      <w:r w:rsidRPr="002B3C8F">
        <w:t xml:space="preserve"> </w:t>
      </w:r>
      <w:r w:rsidR="003169CC">
        <w:t>...</w:t>
      </w:r>
      <w:r w:rsidR="009D39F7" w:rsidRPr="002B3C8F">
        <w:t xml:space="preserve"> </w:t>
      </w:r>
    </w:p>
  </w:comment>
  <w:comment w:id="1" w:author="14001Academy" w:date="2014-12-17T16:08:00Z" w:initials="14A">
    <w:p w14:paraId="0A14F395" w14:textId="77777777" w:rsidR="00BB5E7C" w:rsidRPr="002B3C8F" w:rsidRDefault="00BB5E7C">
      <w:pPr>
        <w:pStyle w:val="CommentText"/>
      </w:pPr>
      <w:r w:rsidRPr="002B3C8F">
        <w:rPr>
          <w:rStyle w:val="CommentReference"/>
          <w:lang w:val="de-DE"/>
        </w:rPr>
        <w:annotationRef/>
      </w:r>
      <w:r w:rsidR="00D40981" w:rsidRPr="002B3C8F">
        <w:t>Für die Analyse verwendete Daten können Ressourcen sein, die für die Unterstüt</w:t>
      </w:r>
      <w:r w:rsidR="002B3C8F" w:rsidRPr="002B3C8F">
        <w:t>zung von Umweltprojekten im lokalen Gemeinwesen eingesetzt werden, Teilnahme an lokalen und regionalen Initiativen zur Reinigung und zum Recycling, Sponsoring v</w:t>
      </w:r>
      <w:r w:rsidR="00F76049">
        <w:t>on Umweltschutz-Initiativen, usw</w:t>
      </w:r>
      <w:r w:rsidR="002B3C8F" w:rsidRPr="002B3C8F"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328C6F" w15:done="0"/>
  <w15:commentEx w15:paraId="0A14F39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FF515" w14:textId="77777777" w:rsidR="0015439D" w:rsidRDefault="0015439D" w:rsidP="00CE6770">
      <w:pPr>
        <w:spacing w:after="0" w:line="240" w:lineRule="auto"/>
      </w:pPr>
      <w:r>
        <w:separator/>
      </w:r>
    </w:p>
  </w:endnote>
  <w:endnote w:type="continuationSeparator" w:id="0">
    <w:p w14:paraId="17858E1A" w14:textId="77777777" w:rsidR="0015439D" w:rsidRDefault="0015439D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7D3C548A" w14:textId="77777777" w:rsidTr="00055BDB">
      <w:trPr>
        <w:trHeight w:val="530"/>
      </w:trPr>
      <w:tc>
        <w:tcPr>
          <w:tcW w:w="2828" w:type="dxa"/>
        </w:tcPr>
        <w:p w14:paraId="3032A864" w14:textId="77777777" w:rsidR="00055BDB" w:rsidRPr="009E5C48" w:rsidRDefault="0004171E" w:rsidP="00F76049">
          <w:pPr>
            <w:spacing w:after="0"/>
            <w:rPr>
              <w:sz w:val="18"/>
              <w:szCs w:val="18"/>
            </w:rPr>
          </w:pPr>
          <w:r w:rsidRPr="0004171E">
            <w:rPr>
              <w:sz w:val="18"/>
              <w:szCs w:val="18"/>
            </w:rPr>
            <w:t>A</w:t>
          </w:r>
          <w:r w:rsidR="00BA0F6B">
            <w:rPr>
              <w:sz w:val="18"/>
              <w:szCs w:val="18"/>
            </w:rPr>
            <w:t>nhang</w:t>
          </w:r>
          <w:r w:rsidRPr="0004171E">
            <w:rPr>
              <w:sz w:val="18"/>
              <w:szCs w:val="18"/>
            </w:rPr>
            <w:t xml:space="preserve"> 2 –</w:t>
          </w:r>
          <w:r w:rsidR="00F76049">
            <w:rPr>
              <w:sz w:val="18"/>
              <w:szCs w:val="18"/>
            </w:rPr>
            <w:t xml:space="preserve"> </w:t>
          </w:r>
          <w:r w:rsidR="00BA0F6B">
            <w:rPr>
              <w:sz w:val="18"/>
              <w:szCs w:val="18"/>
            </w:rPr>
            <w:t>Bericht</w:t>
          </w:r>
          <w:r w:rsidR="00F76049">
            <w:t xml:space="preserve"> </w:t>
          </w:r>
          <w:r w:rsidR="00F76049" w:rsidRPr="00F76049">
            <w:rPr>
              <w:sz w:val="18"/>
              <w:szCs w:val="18"/>
            </w:rPr>
            <w:t>Datenanalyse</w:t>
          </w:r>
        </w:p>
      </w:tc>
      <w:tc>
        <w:tcPr>
          <w:tcW w:w="3404" w:type="dxa"/>
        </w:tcPr>
        <w:p w14:paraId="2272D614" w14:textId="77777777" w:rsidR="006D3B29" w:rsidRDefault="00BA0F6B" w:rsidP="00BA0F6B">
          <w:pPr>
            <w:pStyle w:val="Footer"/>
            <w:spacing w:after="0"/>
            <w:jc w:val="center"/>
            <w:rPr>
              <w:sz w:val="18"/>
            </w:rPr>
          </w:pPr>
          <w:r>
            <w:rPr>
              <w:sz w:val="18"/>
            </w:rPr>
            <w:t>Ver. [V</w:t>
          </w:r>
          <w:r w:rsidR="006D3B29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6D3B29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6D3B29" w:rsidRPr="00EB7391">
            <w:rPr>
              <w:sz w:val="18"/>
            </w:rPr>
            <w:t>]</w:t>
          </w:r>
        </w:p>
        <w:p w14:paraId="2A8B7743" w14:textId="77777777" w:rsidR="00055BDB" w:rsidRPr="00EB7391" w:rsidRDefault="00055BDB" w:rsidP="00BA0F6B">
          <w:pPr>
            <w:pStyle w:val="Footer"/>
            <w:spacing w:after="0"/>
            <w:jc w:val="center"/>
            <w:rPr>
              <w:sz w:val="18"/>
              <w:szCs w:val="18"/>
            </w:rPr>
          </w:pPr>
        </w:p>
      </w:tc>
      <w:tc>
        <w:tcPr>
          <w:tcW w:w="3110" w:type="dxa"/>
        </w:tcPr>
        <w:p w14:paraId="436B0F72" w14:textId="77777777" w:rsidR="006D3B29" w:rsidRPr="00EB7391" w:rsidRDefault="00BA0F6B" w:rsidP="00BA0F6B">
          <w:pPr>
            <w:pStyle w:val="Footer"/>
            <w:spacing w:after="0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6D3B29" w:rsidRPr="00EB7391">
            <w:rPr>
              <w:sz w:val="18"/>
            </w:rPr>
            <w:t xml:space="preserve"> </w:t>
          </w:r>
          <w:r w:rsidR="00625B56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PAGE </w:instrText>
          </w:r>
          <w:r w:rsidR="00625B56" w:rsidRPr="00EB7391">
            <w:rPr>
              <w:b/>
              <w:sz w:val="18"/>
            </w:rPr>
            <w:fldChar w:fldCharType="separate"/>
          </w:r>
          <w:r w:rsidR="003169CC">
            <w:rPr>
              <w:b/>
              <w:noProof/>
              <w:sz w:val="18"/>
            </w:rPr>
            <w:t>1</w:t>
          </w:r>
          <w:r w:rsidR="00625B56" w:rsidRPr="00EB7391">
            <w:rPr>
              <w:b/>
              <w:sz w:val="18"/>
            </w:rPr>
            <w:fldChar w:fldCharType="end"/>
          </w:r>
          <w:r w:rsidR="006D3B29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6D3B29" w:rsidRPr="00EB7391">
            <w:rPr>
              <w:sz w:val="18"/>
            </w:rPr>
            <w:t xml:space="preserve"> </w:t>
          </w:r>
          <w:r w:rsidR="00625B56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NUMPAGES  </w:instrText>
          </w:r>
          <w:r w:rsidR="00625B56" w:rsidRPr="00EB7391">
            <w:rPr>
              <w:b/>
              <w:sz w:val="18"/>
            </w:rPr>
            <w:fldChar w:fldCharType="separate"/>
          </w:r>
          <w:r w:rsidR="003169CC">
            <w:rPr>
              <w:b/>
              <w:noProof/>
              <w:sz w:val="18"/>
            </w:rPr>
            <w:t>1</w:t>
          </w:r>
          <w:r w:rsidR="00625B56" w:rsidRPr="00EB7391">
            <w:rPr>
              <w:b/>
              <w:sz w:val="18"/>
            </w:rPr>
            <w:fldChar w:fldCharType="end"/>
          </w:r>
        </w:p>
      </w:tc>
    </w:tr>
  </w:tbl>
  <w:p w14:paraId="0E8420F5" w14:textId="77777777" w:rsidR="006D3B29" w:rsidRPr="00EB7391" w:rsidRDefault="00F76049" w:rsidP="00BA0F6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76049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679A3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55BDB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F7C6E" w14:textId="77777777" w:rsidR="0015439D" w:rsidRDefault="0015439D" w:rsidP="00CE6770">
      <w:pPr>
        <w:spacing w:after="0" w:line="240" w:lineRule="auto"/>
      </w:pPr>
      <w:r>
        <w:separator/>
      </w:r>
    </w:p>
  </w:footnote>
  <w:footnote w:type="continuationSeparator" w:id="0">
    <w:p w14:paraId="6CFBFF03" w14:textId="77777777" w:rsidR="0015439D" w:rsidRDefault="0015439D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4F570C82" w14:textId="77777777" w:rsidTr="0004171E">
      <w:trPr>
        <w:trHeight w:val="336"/>
      </w:trPr>
      <w:tc>
        <w:tcPr>
          <w:tcW w:w="6834" w:type="dxa"/>
        </w:tcPr>
        <w:p w14:paraId="08E7EE35" w14:textId="77777777" w:rsidR="006D3B29" w:rsidRPr="006571EC" w:rsidRDefault="006D3B29" w:rsidP="00BA0F6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BA0F6B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40" w:type="dxa"/>
        </w:tcPr>
        <w:p w14:paraId="44AA2B97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987AA19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0971"/>
    <w:rsid w:val="00033A59"/>
    <w:rsid w:val="00040E0E"/>
    <w:rsid w:val="0004171E"/>
    <w:rsid w:val="0004319E"/>
    <w:rsid w:val="00050005"/>
    <w:rsid w:val="00050E05"/>
    <w:rsid w:val="0005546F"/>
    <w:rsid w:val="00055BDB"/>
    <w:rsid w:val="00095500"/>
    <w:rsid w:val="000A31E5"/>
    <w:rsid w:val="000A7661"/>
    <w:rsid w:val="000A7C52"/>
    <w:rsid w:val="000C6B3E"/>
    <w:rsid w:val="000E2189"/>
    <w:rsid w:val="00101555"/>
    <w:rsid w:val="00111FB7"/>
    <w:rsid w:val="0012627B"/>
    <w:rsid w:val="001532D4"/>
    <w:rsid w:val="0015439D"/>
    <w:rsid w:val="001625A2"/>
    <w:rsid w:val="00162726"/>
    <w:rsid w:val="00195830"/>
    <w:rsid w:val="001A7047"/>
    <w:rsid w:val="001B12F9"/>
    <w:rsid w:val="001B1E14"/>
    <w:rsid w:val="001B4CE7"/>
    <w:rsid w:val="001B79D6"/>
    <w:rsid w:val="001E64EE"/>
    <w:rsid w:val="001F66C9"/>
    <w:rsid w:val="00241F1F"/>
    <w:rsid w:val="002731D2"/>
    <w:rsid w:val="002801DA"/>
    <w:rsid w:val="00297C27"/>
    <w:rsid w:val="002A6D29"/>
    <w:rsid w:val="002B3C8F"/>
    <w:rsid w:val="002B5C00"/>
    <w:rsid w:val="002C372C"/>
    <w:rsid w:val="002D2C56"/>
    <w:rsid w:val="002D6449"/>
    <w:rsid w:val="00302E5B"/>
    <w:rsid w:val="003169CC"/>
    <w:rsid w:val="00331F95"/>
    <w:rsid w:val="003331A9"/>
    <w:rsid w:val="00355B1D"/>
    <w:rsid w:val="003740D5"/>
    <w:rsid w:val="003829E5"/>
    <w:rsid w:val="003A7DCA"/>
    <w:rsid w:val="003F3F9A"/>
    <w:rsid w:val="00402095"/>
    <w:rsid w:val="00413F1F"/>
    <w:rsid w:val="00431C83"/>
    <w:rsid w:val="00437421"/>
    <w:rsid w:val="004473CD"/>
    <w:rsid w:val="004664E5"/>
    <w:rsid w:val="00482AEB"/>
    <w:rsid w:val="004876A5"/>
    <w:rsid w:val="004C2E05"/>
    <w:rsid w:val="004E7992"/>
    <w:rsid w:val="004F3FF6"/>
    <w:rsid w:val="00503C2C"/>
    <w:rsid w:val="00504687"/>
    <w:rsid w:val="005200F1"/>
    <w:rsid w:val="005204E3"/>
    <w:rsid w:val="005209C0"/>
    <w:rsid w:val="00526FF8"/>
    <w:rsid w:val="005357F2"/>
    <w:rsid w:val="00542D45"/>
    <w:rsid w:val="00551FD4"/>
    <w:rsid w:val="00567542"/>
    <w:rsid w:val="005763D5"/>
    <w:rsid w:val="00583DBC"/>
    <w:rsid w:val="00584525"/>
    <w:rsid w:val="005B599A"/>
    <w:rsid w:val="005D5FE1"/>
    <w:rsid w:val="005D67A7"/>
    <w:rsid w:val="005E30DC"/>
    <w:rsid w:val="005E653C"/>
    <w:rsid w:val="0062169F"/>
    <w:rsid w:val="00625B56"/>
    <w:rsid w:val="006300F1"/>
    <w:rsid w:val="006342AF"/>
    <w:rsid w:val="00660E54"/>
    <w:rsid w:val="00665BB0"/>
    <w:rsid w:val="00680FDC"/>
    <w:rsid w:val="00687B12"/>
    <w:rsid w:val="0069106A"/>
    <w:rsid w:val="00693729"/>
    <w:rsid w:val="006D3B29"/>
    <w:rsid w:val="006E3A33"/>
    <w:rsid w:val="006F3F45"/>
    <w:rsid w:val="00742FCE"/>
    <w:rsid w:val="00754910"/>
    <w:rsid w:val="007573F4"/>
    <w:rsid w:val="00757E33"/>
    <w:rsid w:val="00767EFD"/>
    <w:rsid w:val="00771001"/>
    <w:rsid w:val="007800D7"/>
    <w:rsid w:val="00780998"/>
    <w:rsid w:val="00790899"/>
    <w:rsid w:val="007939AC"/>
    <w:rsid w:val="007A6BDD"/>
    <w:rsid w:val="007C7897"/>
    <w:rsid w:val="007F67CD"/>
    <w:rsid w:val="00807E31"/>
    <w:rsid w:val="0081353E"/>
    <w:rsid w:val="00830882"/>
    <w:rsid w:val="008328D3"/>
    <w:rsid w:val="00835271"/>
    <w:rsid w:val="00851B45"/>
    <w:rsid w:val="008645DF"/>
    <w:rsid w:val="00871A42"/>
    <w:rsid w:val="00874AF9"/>
    <w:rsid w:val="00883471"/>
    <w:rsid w:val="008A01CC"/>
    <w:rsid w:val="008B3350"/>
    <w:rsid w:val="008B4E94"/>
    <w:rsid w:val="008D76E6"/>
    <w:rsid w:val="008E0A60"/>
    <w:rsid w:val="008E37F2"/>
    <w:rsid w:val="008F63C0"/>
    <w:rsid w:val="008F7EDC"/>
    <w:rsid w:val="009051AF"/>
    <w:rsid w:val="00927DFD"/>
    <w:rsid w:val="00942B9C"/>
    <w:rsid w:val="009457AA"/>
    <w:rsid w:val="0097231D"/>
    <w:rsid w:val="009829F1"/>
    <w:rsid w:val="0099129D"/>
    <w:rsid w:val="009A0472"/>
    <w:rsid w:val="009C5D0B"/>
    <w:rsid w:val="009C644F"/>
    <w:rsid w:val="009C671A"/>
    <w:rsid w:val="009D39F7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A348F"/>
    <w:rsid w:val="00AA6E35"/>
    <w:rsid w:val="00AB5676"/>
    <w:rsid w:val="00AD23CB"/>
    <w:rsid w:val="00AE0C7D"/>
    <w:rsid w:val="00B002DC"/>
    <w:rsid w:val="00B10EC3"/>
    <w:rsid w:val="00B20926"/>
    <w:rsid w:val="00B221F5"/>
    <w:rsid w:val="00B255F3"/>
    <w:rsid w:val="00B45BFF"/>
    <w:rsid w:val="00B65B4D"/>
    <w:rsid w:val="00B67D6A"/>
    <w:rsid w:val="00B87AB7"/>
    <w:rsid w:val="00BA0F6B"/>
    <w:rsid w:val="00BB5E7C"/>
    <w:rsid w:val="00BB6B3A"/>
    <w:rsid w:val="00BC2BF7"/>
    <w:rsid w:val="00BF0633"/>
    <w:rsid w:val="00C62F93"/>
    <w:rsid w:val="00C63036"/>
    <w:rsid w:val="00C85591"/>
    <w:rsid w:val="00C92183"/>
    <w:rsid w:val="00CB5370"/>
    <w:rsid w:val="00CE6770"/>
    <w:rsid w:val="00D00BE5"/>
    <w:rsid w:val="00D03BC5"/>
    <w:rsid w:val="00D064B7"/>
    <w:rsid w:val="00D121F6"/>
    <w:rsid w:val="00D24FFC"/>
    <w:rsid w:val="00D31447"/>
    <w:rsid w:val="00D359A6"/>
    <w:rsid w:val="00D40981"/>
    <w:rsid w:val="00D4352A"/>
    <w:rsid w:val="00D45875"/>
    <w:rsid w:val="00D55D98"/>
    <w:rsid w:val="00D62559"/>
    <w:rsid w:val="00D71BD8"/>
    <w:rsid w:val="00D810F7"/>
    <w:rsid w:val="00DC7E8C"/>
    <w:rsid w:val="00DD4894"/>
    <w:rsid w:val="00DD5F01"/>
    <w:rsid w:val="00E01378"/>
    <w:rsid w:val="00E01E35"/>
    <w:rsid w:val="00E21EE4"/>
    <w:rsid w:val="00E27F4A"/>
    <w:rsid w:val="00E373A5"/>
    <w:rsid w:val="00E52633"/>
    <w:rsid w:val="00E52756"/>
    <w:rsid w:val="00E5330C"/>
    <w:rsid w:val="00E542A9"/>
    <w:rsid w:val="00E56499"/>
    <w:rsid w:val="00E60C13"/>
    <w:rsid w:val="00E83F00"/>
    <w:rsid w:val="00EA032B"/>
    <w:rsid w:val="00EA5DB7"/>
    <w:rsid w:val="00EB7391"/>
    <w:rsid w:val="00EE1F48"/>
    <w:rsid w:val="00EE70B4"/>
    <w:rsid w:val="00EF5EEA"/>
    <w:rsid w:val="00F0751D"/>
    <w:rsid w:val="00F23393"/>
    <w:rsid w:val="00F24286"/>
    <w:rsid w:val="00F34081"/>
    <w:rsid w:val="00F37138"/>
    <w:rsid w:val="00F76049"/>
    <w:rsid w:val="00F80D00"/>
    <w:rsid w:val="00F93BA6"/>
    <w:rsid w:val="00FA2B1E"/>
    <w:rsid w:val="00FA6E49"/>
    <w:rsid w:val="00FB456C"/>
    <w:rsid w:val="00FC46C6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38EE39"/>
  <w15:docId w15:val="{98AFF4BC-8DE5-4784-9ACA-C5310CA6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B2092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1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datenanalyse-berich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data-analysis-repor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59E90-C15E-4877-91E7-A7E1EB00D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– Datenanalyse-Bericht</vt:lpstr>
      <vt:lpstr>Anhang 2 – Datenanalyse-Bericht</vt:lpstr>
      <vt:lpstr>Appendix 2 - Internal Audit Report</vt:lpstr>
    </vt:vector>
  </TitlesOfParts>
  <Company>Advisera Expert Solutions Ltd</Company>
  <LinksUpToDate>false</LinksUpToDate>
  <CharactersWithSpaces>555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– Bericht Datenanalyse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2015-08-09T13:34:00Z</dcterms:created>
  <dcterms:modified xsi:type="dcterms:W3CDTF">2017-10-19T16:55:00Z</dcterms:modified>
</cp:coreProperties>
</file>