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42FFD2" w14:textId="77777777" w:rsidR="00016630" w:rsidRPr="00016630" w:rsidRDefault="00016630" w:rsidP="00016630">
      <w:pPr>
        <w:jc w:val="center"/>
        <w:rPr>
          <w:rFonts w:eastAsia="Times New Roman"/>
        </w:rPr>
      </w:pPr>
      <w:r w:rsidRPr="00016630">
        <w:rPr>
          <w:rFonts w:eastAsia="Times New Roman"/>
        </w:rPr>
        <w:t>** FREE PREVIEW VERSION **</w:t>
      </w:r>
    </w:p>
    <w:p w14:paraId="595CE923" w14:textId="77777777" w:rsidR="00016630" w:rsidRPr="00016630" w:rsidRDefault="00016630" w:rsidP="00016630">
      <w:pPr>
        <w:jc w:val="center"/>
        <w:rPr>
          <w:rFonts w:eastAsia="Times New Roman"/>
        </w:rPr>
      </w:pPr>
      <w:r w:rsidRPr="00016630">
        <w:rPr>
          <w:rFonts w:eastAsia="Times New Roman"/>
        </w:rPr>
        <w:t>Thank you for downloading the free preview version of the EU MDR Documentation Toolkit.</w:t>
      </w:r>
    </w:p>
    <w:p w14:paraId="70E7FF82" w14:textId="77777777" w:rsidR="00CC624B" w:rsidRDefault="00CC624B" w:rsidP="00A97D92">
      <w:pPr>
        <w:rPr>
          <w:rFonts w:eastAsia="Times New Roman"/>
          <w:b/>
          <w:sz w:val="32"/>
          <w:szCs w:val="32"/>
        </w:rPr>
      </w:pPr>
    </w:p>
    <w:p w14:paraId="75E8C1C3" w14:textId="5CAFF67F" w:rsidR="00A97D92" w:rsidRPr="00301E36" w:rsidRDefault="001808FF" w:rsidP="00A97D92">
      <w:pPr>
        <w:rPr>
          <w:rFonts w:eastAsia="Times New Roman"/>
          <w:b/>
          <w:sz w:val="32"/>
          <w:szCs w:val="32"/>
        </w:rPr>
      </w:pPr>
      <w:r w:rsidRPr="00301E36">
        <w:rPr>
          <w:rFonts w:eastAsia="Times New Roman"/>
          <w:b/>
          <w:sz w:val="32"/>
          <w:szCs w:val="32"/>
        </w:rPr>
        <w:t>Appendix 3 – Periodic Safety Update Report (PSUR)</w:t>
      </w:r>
    </w:p>
    <w:p w14:paraId="65903CE7" w14:textId="0AB78E44" w:rsidR="001808FF" w:rsidRPr="00301E36" w:rsidRDefault="001808FF" w:rsidP="001808FF">
      <w:pPr>
        <w:pStyle w:val="NoSpacing"/>
      </w:pP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5"/>
        <w:gridCol w:w="6367"/>
      </w:tblGrid>
      <w:tr w:rsidR="001808FF" w:rsidRPr="00301E36" w14:paraId="3D8AA0B4" w14:textId="77777777" w:rsidTr="00301E36">
        <w:tc>
          <w:tcPr>
            <w:tcW w:w="2695" w:type="dxa"/>
            <w:shd w:val="clear" w:color="auto" w:fill="BFBFBF" w:themeFill="background1" w:themeFillShade="BF"/>
            <w:tcMar>
              <w:top w:w="72" w:type="dxa"/>
              <w:left w:w="115" w:type="dxa"/>
              <w:bottom w:w="72" w:type="dxa"/>
              <w:right w:w="115" w:type="dxa"/>
            </w:tcMar>
            <w:vAlign w:val="center"/>
          </w:tcPr>
          <w:p w14:paraId="02D11B61" w14:textId="126872C7" w:rsidR="001808FF" w:rsidRPr="00301E36" w:rsidRDefault="001808FF" w:rsidP="001B2A2E">
            <w:pPr>
              <w:pStyle w:val="NoSpacing"/>
            </w:pPr>
            <w:commentRangeStart w:id="0"/>
            <w:r w:rsidRPr="00301E36">
              <w:t>Medical device</w:t>
            </w:r>
            <w:r w:rsidR="00D01536" w:rsidRPr="00301E36">
              <w:t>(s)</w:t>
            </w:r>
            <w:r w:rsidRPr="00301E36">
              <w:t xml:space="preserve"> covered by the PSUR</w:t>
            </w:r>
          </w:p>
        </w:tc>
        <w:tc>
          <w:tcPr>
            <w:tcW w:w="6367" w:type="dxa"/>
            <w:tcMar>
              <w:top w:w="72" w:type="dxa"/>
              <w:left w:w="115" w:type="dxa"/>
              <w:bottom w:w="72" w:type="dxa"/>
              <w:right w:w="115" w:type="dxa"/>
            </w:tcMar>
            <w:vAlign w:val="center"/>
          </w:tcPr>
          <w:p w14:paraId="2B141C33" w14:textId="77777777" w:rsidR="001808FF" w:rsidRPr="00301E36" w:rsidRDefault="001808FF" w:rsidP="001B2A2E">
            <w:pPr>
              <w:pStyle w:val="NoSpacing"/>
            </w:pPr>
          </w:p>
        </w:tc>
      </w:tr>
      <w:tr w:rsidR="001808FF" w:rsidRPr="00301E36" w14:paraId="477291B6" w14:textId="77777777" w:rsidTr="00301E36">
        <w:tc>
          <w:tcPr>
            <w:tcW w:w="2695" w:type="dxa"/>
            <w:shd w:val="clear" w:color="auto" w:fill="BFBFBF" w:themeFill="background1" w:themeFillShade="BF"/>
            <w:tcMar>
              <w:top w:w="72" w:type="dxa"/>
              <w:left w:w="115" w:type="dxa"/>
              <w:bottom w:w="72" w:type="dxa"/>
              <w:right w:w="115" w:type="dxa"/>
            </w:tcMar>
            <w:vAlign w:val="center"/>
          </w:tcPr>
          <w:p w14:paraId="0A43F183" w14:textId="5AFEA03D" w:rsidR="001808FF" w:rsidRPr="00301E36" w:rsidRDefault="001808FF" w:rsidP="001B2A2E">
            <w:pPr>
              <w:pStyle w:val="NoSpacing"/>
            </w:pPr>
            <w:r w:rsidRPr="00301E36">
              <w:t>Manufacturer information</w:t>
            </w:r>
          </w:p>
        </w:tc>
        <w:tc>
          <w:tcPr>
            <w:tcW w:w="6367" w:type="dxa"/>
            <w:tcMar>
              <w:top w:w="72" w:type="dxa"/>
              <w:left w:w="115" w:type="dxa"/>
              <w:bottom w:w="72" w:type="dxa"/>
              <w:right w:w="115" w:type="dxa"/>
            </w:tcMar>
            <w:vAlign w:val="center"/>
          </w:tcPr>
          <w:p w14:paraId="6B94D314" w14:textId="6F2DE6DE" w:rsidR="001808FF" w:rsidRPr="00301E36" w:rsidRDefault="00C87716" w:rsidP="001B2A2E">
            <w:pPr>
              <w:pStyle w:val="NoSpacing"/>
            </w:pPr>
            <w:commentRangeStart w:id="1"/>
            <w:r w:rsidRPr="00301E36">
              <w:t xml:space="preserve"> </w:t>
            </w:r>
            <w:commentRangeEnd w:id="1"/>
            <w:r w:rsidRPr="00301E36">
              <w:rPr>
                <w:rStyle w:val="CommentReference"/>
                <w:rFonts w:eastAsia="Calibri"/>
              </w:rPr>
              <w:commentReference w:id="1"/>
            </w:r>
          </w:p>
        </w:tc>
      </w:tr>
      <w:tr w:rsidR="001808FF" w:rsidRPr="00301E36" w14:paraId="6D5A478E" w14:textId="77777777" w:rsidTr="00301E36">
        <w:tc>
          <w:tcPr>
            <w:tcW w:w="2695" w:type="dxa"/>
            <w:shd w:val="clear" w:color="auto" w:fill="BFBFBF" w:themeFill="background1" w:themeFillShade="BF"/>
            <w:tcMar>
              <w:top w:w="72" w:type="dxa"/>
              <w:left w:w="115" w:type="dxa"/>
              <w:bottom w:w="72" w:type="dxa"/>
              <w:right w:w="115" w:type="dxa"/>
            </w:tcMar>
            <w:vAlign w:val="center"/>
          </w:tcPr>
          <w:p w14:paraId="114CDF3E" w14:textId="089A793F" w:rsidR="001808FF" w:rsidRPr="00301E36" w:rsidRDefault="001808FF" w:rsidP="001B2A2E">
            <w:pPr>
              <w:pStyle w:val="NoSpacing"/>
            </w:pPr>
            <w:r w:rsidRPr="00301E36">
              <w:t>Notified Body name and organization number</w:t>
            </w:r>
          </w:p>
        </w:tc>
        <w:tc>
          <w:tcPr>
            <w:tcW w:w="6367" w:type="dxa"/>
            <w:tcMar>
              <w:top w:w="72" w:type="dxa"/>
              <w:left w:w="115" w:type="dxa"/>
              <w:bottom w:w="72" w:type="dxa"/>
              <w:right w:w="115" w:type="dxa"/>
            </w:tcMar>
            <w:vAlign w:val="center"/>
          </w:tcPr>
          <w:p w14:paraId="4D1D051F" w14:textId="77777777" w:rsidR="001808FF" w:rsidRPr="00301E36" w:rsidRDefault="001808FF" w:rsidP="001B2A2E">
            <w:pPr>
              <w:pStyle w:val="NoSpacing"/>
            </w:pPr>
          </w:p>
        </w:tc>
      </w:tr>
      <w:tr w:rsidR="001808FF" w:rsidRPr="00301E36" w14:paraId="4CF764FE" w14:textId="77777777" w:rsidTr="00301E36">
        <w:tc>
          <w:tcPr>
            <w:tcW w:w="2695" w:type="dxa"/>
            <w:shd w:val="clear" w:color="auto" w:fill="BFBFBF" w:themeFill="background1" w:themeFillShade="BF"/>
            <w:tcMar>
              <w:top w:w="72" w:type="dxa"/>
              <w:left w:w="115" w:type="dxa"/>
              <w:bottom w:w="72" w:type="dxa"/>
              <w:right w:w="115" w:type="dxa"/>
            </w:tcMar>
            <w:vAlign w:val="center"/>
          </w:tcPr>
          <w:p w14:paraId="3B7815DC" w14:textId="77777777" w:rsidR="001808FF" w:rsidRPr="00301E36" w:rsidRDefault="001808FF" w:rsidP="001B2A2E">
            <w:pPr>
              <w:pStyle w:val="NoSpacing"/>
            </w:pPr>
            <w:r w:rsidRPr="00301E36">
              <w:t>PSUR reference number assigned by the manufacturer</w:t>
            </w:r>
          </w:p>
        </w:tc>
        <w:tc>
          <w:tcPr>
            <w:tcW w:w="6367" w:type="dxa"/>
            <w:tcMar>
              <w:top w:w="72" w:type="dxa"/>
              <w:left w:w="115" w:type="dxa"/>
              <w:bottom w:w="72" w:type="dxa"/>
              <w:right w:w="115" w:type="dxa"/>
            </w:tcMar>
            <w:vAlign w:val="center"/>
          </w:tcPr>
          <w:p w14:paraId="08EB7BC2" w14:textId="77777777" w:rsidR="001808FF" w:rsidRPr="00301E36" w:rsidRDefault="001808FF" w:rsidP="001B2A2E">
            <w:pPr>
              <w:pStyle w:val="NoSpacing"/>
            </w:pPr>
          </w:p>
        </w:tc>
      </w:tr>
      <w:tr w:rsidR="001808FF" w:rsidRPr="00301E36" w14:paraId="40FE692D" w14:textId="77777777" w:rsidTr="00301E36">
        <w:tc>
          <w:tcPr>
            <w:tcW w:w="2695" w:type="dxa"/>
            <w:shd w:val="clear" w:color="auto" w:fill="BFBFBF" w:themeFill="background1" w:themeFillShade="BF"/>
            <w:tcMar>
              <w:top w:w="72" w:type="dxa"/>
              <w:left w:w="115" w:type="dxa"/>
              <w:bottom w:w="72" w:type="dxa"/>
              <w:right w:w="115" w:type="dxa"/>
            </w:tcMar>
            <w:vAlign w:val="center"/>
          </w:tcPr>
          <w:p w14:paraId="49EA41DC" w14:textId="77777777" w:rsidR="001808FF" w:rsidRPr="00301E36" w:rsidRDefault="001808FF" w:rsidP="001B2A2E">
            <w:pPr>
              <w:pStyle w:val="NoSpacing"/>
            </w:pPr>
            <w:r w:rsidRPr="00301E36">
              <w:t>Version number of the PSUR</w:t>
            </w:r>
          </w:p>
        </w:tc>
        <w:tc>
          <w:tcPr>
            <w:tcW w:w="6367" w:type="dxa"/>
            <w:tcMar>
              <w:top w:w="72" w:type="dxa"/>
              <w:left w:w="115" w:type="dxa"/>
              <w:bottom w:w="72" w:type="dxa"/>
              <w:right w:w="115" w:type="dxa"/>
            </w:tcMar>
            <w:vAlign w:val="center"/>
          </w:tcPr>
          <w:p w14:paraId="3AED69BE" w14:textId="77777777" w:rsidR="001808FF" w:rsidRPr="00301E36" w:rsidRDefault="001808FF" w:rsidP="001B2A2E">
            <w:pPr>
              <w:pStyle w:val="NoSpacing"/>
            </w:pPr>
          </w:p>
        </w:tc>
      </w:tr>
      <w:tr w:rsidR="001808FF" w:rsidRPr="00301E36" w14:paraId="0983D341" w14:textId="77777777" w:rsidTr="00301E36">
        <w:tc>
          <w:tcPr>
            <w:tcW w:w="2695" w:type="dxa"/>
            <w:shd w:val="clear" w:color="auto" w:fill="BFBFBF" w:themeFill="background1" w:themeFillShade="BF"/>
            <w:tcMar>
              <w:top w:w="72" w:type="dxa"/>
              <w:left w:w="115" w:type="dxa"/>
              <w:bottom w:w="72" w:type="dxa"/>
              <w:right w:w="115" w:type="dxa"/>
            </w:tcMar>
            <w:vAlign w:val="center"/>
          </w:tcPr>
          <w:p w14:paraId="7B15C44D" w14:textId="77777777" w:rsidR="001808FF" w:rsidRPr="00301E36" w:rsidRDefault="001808FF" w:rsidP="001B2A2E">
            <w:pPr>
              <w:pStyle w:val="NoSpacing"/>
            </w:pPr>
            <w:r w:rsidRPr="00301E36">
              <w:t>Data collection period covered by the PSUR</w:t>
            </w:r>
            <w:commentRangeEnd w:id="0"/>
            <w:r w:rsidR="00C87716" w:rsidRPr="00301E36">
              <w:rPr>
                <w:rStyle w:val="CommentReference"/>
                <w:rFonts w:eastAsia="Calibri"/>
              </w:rPr>
              <w:commentReference w:id="0"/>
            </w:r>
          </w:p>
        </w:tc>
        <w:tc>
          <w:tcPr>
            <w:tcW w:w="6367" w:type="dxa"/>
            <w:tcMar>
              <w:top w:w="72" w:type="dxa"/>
              <w:left w:w="115" w:type="dxa"/>
              <w:bottom w:w="72" w:type="dxa"/>
              <w:right w:w="115" w:type="dxa"/>
            </w:tcMar>
            <w:vAlign w:val="center"/>
          </w:tcPr>
          <w:p w14:paraId="0D18BFD4" w14:textId="77777777" w:rsidR="001808FF" w:rsidRPr="00301E36" w:rsidRDefault="001808FF" w:rsidP="001B2A2E">
            <w:pPr>
              <w:pStyle w:val="NoSpacing"/>
            </w:pPr>
          </w:p>
        </w:tc>
      </w:tr>
    </w:tbl>
    <w:p w14:paraId="3ED981D2" w14:textId="6DD653EE" w:rsidR="001808FF" w:rsidRPr="00301E36" w:rsidRDefault="001808FF" w:rsidP="001808FF"/>
    <w:p w14:paraId="525EC872" w14:textId="77777777" w:rsidR="001B2A2E" w:rsidRPr="00301E36" w:rsidRDefault="001B2A2E" w:rsidP="001808FF"/>
    <w:p w14:paraId="69CFC360" w14:textId="080756F5" w:rsidR="00F961E0" w:rsidRPr="00301E36" w:rsidRDefault="00F37DA3" w:rsidP="00F961E0">
      <w:pPr>
        <w:rPr>
          <w:b/>
          <w:sz w:val="28"/>
          <w:szCs w:val="28"/>
        </w:rPr>
      </w:pPr>
      <w:r w:rsidRPr="00301E36">
        <w:rPr>
          <w:b/>
          <w:sz w:val="28"/>
          <w:szCs w:val="28"/>
        </w:rPr>
        <w:t>Table of contents</w:t>
      </w:r>
    </w:p>
    <w:p w14:paraId="10922D57" w14:textId="3FECE422" w:rsidR="00301E36" w:rsidRPr="00301E36" w:rsidRDefault="00034FCC">
      <w:pPr>
        <w:pStyle w:val="TOC1"/>
        <w:tabs>
          <w:tab w:val="left" w:pos="440"/>
          <w:tab w:val="right" w:leader="dot" w:pos="9062"/>
        </w:tabs>
        <w:rPr>
          <w:rFonts w:asciiTheme="minorHAnsi" w:eastAsiaTheme="minorEastAsia" w:hAnsiTheme="minorHAnsi" w:cstheme="minorBidi"/>
          <w:b w:val="0"/>
          <w:bCs w:val="0"/>
          <w:caps w:val="0"/>
          <w:noProof/>
          <w:sz w:val="22"/>
          <w:szCs w:val="22"/>
        </w:rPr>
      </w:pPr>
      <w:r w:rsidRPr="00301E36">
        <w:rPr>
          <w:b w:val="0"/>
          <w:bCs w:val="0"/>
          <w:caps w:val="0"/>
        </w:rPr>
        <w:fldChar w:fldCharType="begin"/>
      </w:r>
      <w:r w:rsidR="00F37DA3" w:rsidRPr="00301E36">
        <w:rPr>
          <w:b w:val="0"/>
          <w:bCs w:val="0"/>
          <w:caps w:val="0"/>
        </w:rPr>
        <w:instrText xml:space="preserve"> TOC \o "1-3" \h \z \u </w:instrText>
      </w:r>
      <w:r w:rsidRPr="00301E36">
        <w:rPr>
          <w:b w:val="0"/>
          <w:bCs w:val="0"/>
          <w:caps w:val="0"/>
        </w:rPr>
        <w:fldChar w:fldCharType="separate"/>
      </w:r>
      <w:hyperlink w:anchor="_Toc148367169" w:history="1">
        <w:r w:rsidR="00301E36" w:rsidRPr="00301E36">
          <w:rPr>
            <w:rStyle w:val="Hyperlink"/>
            <w:noProof/>
          </w:rPr>
          <w:t>1.</w:t>
        </w:r>
        <w:r w:rsidR="00301E36" w:rsidRPr="00301E36">
          <w:rPr>
            <w:rFonts w:asciiTheme="minorHAnsi" w:eastAsiaTheme="minorEastAsia" w:hAnsiTheme="minorHAnsi" w:cstheme="minorBidi"/>
            <w:b w:val="0"/>
            <w:bCs w:val="0"/>
            <w:caps w:val="0"/>
            <w:noProof/>
            <w:sz w:val="22"/>
            <w:szCs w:val="22"/>
          </w:rPr>
          <w:tab/>
        </w:r>
        <w:r w:rsidR="00301E36" w:rsidRPr="00301E36">
          <w:rPr>
            <w:rStyle w:val="Hyperlink"/>
            <w:noProof/>
          </w:rPr>
          <w:t>Executive summary</w:t>
        </w:r>
        <w:r w:rsidR="00301E36" w:rsidRPr="00301E36">
          <w:rPr>
            <w:noProof/>
            <w:webHidden/>
          </w:rPr>
          <w:tab/>
        </w:r>
        <w:r w:rsidR="00301E36" w:rsidRPr="00301E36">
          <w:rPr>
            <w:noProof/>
            <w:webHidden/>
          </w:rPr>
          <w:fldChar w:fldCharType="begin"/>
        </w:r>
        <w:r w:rsidR="00301E36" w:rsidRPr="00301E36">
          <w:rPr>
            <w:noProof/>
            <w:webHidden/>
          </w:rPr>
          <w:instrText xml:space="preserve"> PAGEREF _Toc148367169 \h </w:instrText>
        </w:r>
        <w:r w:rsidR="00301E36" w:rsidRPr="00301E36">
          <w:rPr>
            <w:noProof/>
            <w:webHidden/>
          </w:rPr>
        </w:r>
        <w:r w:rsidR="00301E36" w:rsidRPr="00301E36">
          <w:rPr>
            <w:noProof/>
            <w:webHidden/>
          </w:rPr>
          <w:fldChar w:fldCharType="separate"/>
        </w:r>
        <w:r w:rsidR="00301E36" w:rsidRPr="00301E36">
          <w:rPr>
            <w:noProof/>
            <w:webHidden/>
          </w:rPr>
          <w:t>3</w:t>
        </w:r>
        <w:r w:rsidR="00301E36" w:rsidRPr="00301E36">
          <w:rPr>
            <w:noProof/>
            <w:webHidden/>
          </w:rPr>
          <w:fldChar w:fldCharType="end"/>
        </w:r>
      </w:hyperlink>
    </w:p>
    <w:p w14:paraId="52E213C2" w14:textId="681D653C" w:rsidR="00301E36" w:rsidRPr="00301E36" w:rsidRDefault="00D53A8E">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48367170" w:history="1">
        <w:r w:rsidR="00301E36" w:rsidRPr="00301E36">
          <w:rPr>
            <w:rStyle w:val="Hyperlink"/>
            <w:noProof/>
          </w:rPr>
          <w:t>2.</w:t>
        </w:r>
        <w:r w:rsidR="00301E36" w:rsidRPr="00301E36">
          <w:rPr>
            <w:rFonts w:asciiTheme="minorHAnsi" w:eastAsiaTheme="minorEastAsia" w:hAnsiTheme="minorHAnsi" w:cstheme="minorBidi"/>
            <w:b w:val="0"/>
            <w:bCs w:val="0"/>
            <w:caps w:val="0"/>
            <w:noProof/>
            <w:sz w:val="22"/>
            <w:szCs w:val="22"/>
          </w:rPr>
          <w:tab/>
        </w:r>
        <w:r w:rsidR="00301E36" w:rsidRPr="00301E36">
          <w:rPr>
            <w:rStyle w:val="Hyperlink"/>
            <w:noProof/>
          </w:rPr>
          <w:t>Description of devices covered by the PSUR</w:t>
        </w:r>
        <w:r w:rsidR="00301E36" w:rsidRPr="00301E36">
          <w:rPr>
            <w:noProof/>
            <w:webHidden/>
          </w:rPr>
          <w:tab/>
        </w:r>
        <w:r w:rsidR="00301E36" w:rsidRPr="00301E36">
          <w:rPr>
            <w:noProof/>
            <w:webHidden/>
          </w:rPr>
          <w:fldChar w:fldCharType="begin"/>
        </w:r>
        <w:r w:rsidR="00301E36" w:rsidRPr="00301E36">
          <w:rPr>
            <w:noProof/>
            <w:webHidden/>
          </w:rPr>
          <w:instrText xml:space="preserve"> PAGEREF _Toc148367170 \h </w:instrText>
        </w:r>
        <w:r w:rsidR="00301E36" w:rsidRPr="00301E36">
          <w:rPr>
            <w:noProof/>
            <w:webHidden/>
          </w:rPr>
        </w:r>
        <w:r w:rsidR="00301E36" w:rsidRPr="00301E36">
          <w:rPr>
            <w:noProof/>
            <w:webHidden/>
          </w:rPr>
          <w:fldChar w:fldCharType="separate"/>
        </w:r>
        <w:r w:rsidR="00301E36" w:rsidRPr="00301E36">
          <w:rPr>
            <w:noProof/>
            <w:webHidden/>
          </w:rPr>
          <w:t>3</w:t>
        </w:r>
        <w:r w:rsidR="00301E36" w:rsidRPr="00301E36">
          <w:rPr>
            <w:noProof/>
            <w:webHidden/>
          </w:rPr>
          <w:fldChar w:fldCharType="end"/>
        </w:r>
      </w:hyperlink>
    </w:p>
    <w:p w14:paraId="461CD94F" w14:textId="52F5D6DC" w:rsidR="00301E36" w:rsidRPr="00301E36" w:rsidRDefault="00D53A8E">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48367171" w:history="1">
        <w:r w:rsidR="00301E36" w:rsidRPr="00301E36">
          <w:rPr>
            <w:rStyle w:val="Hyperlink"/>
            <w:noProof/>
          </w:rPr>
          <w:t>3.</w:t>
        </w:r>
        <w:r w:rsidR="00301E36" w:rsidRPr="00301E36">
          <w:rPr>
            <w:rFonts w:asciiTheme="minorHAnsi" w:eastAsiaTheme="minorEastAsia" w:hAnsiTheme="minorHAnsi" w:cstheme="minorBidi"/>
            <w:b w:val="0"/>
            <w:bCs w:val="0"/>
            <w:caps w:val="0"/>
            <w:noProof/>
            <w:sz w:val="22"/>
            <w:szCs w:val="22"/>
          </w:rPr>
          <w:tab/>
        </w:r>
        <w:r w:rsidR="00301E36" w:rsidRPr="00301E36">
          <w:rPr>
            <w:rStyle w:val="Hyperlink"/>
            <w:noProof/>
          </w:rPr>
          <w:t>Grouping of the devices</w:t>
        </w:r>
        <w:r w:rsidR="00301E36" w:rsidRPr="00301E36">
          <w:rPr>
            <w:noProof/>
            <w:webHidden/>
          </w:rPr>
          <w:tab/>
        </w:r>
        <w:r w:rsidR="00301E36" w:rsidRPr="00301E36">
          <w:rPr>
            <w:noProof/>
            <w:webHidden/>
          </w:rPr>
          <w:fldChar w:fldCharType="begin"/>
        </w:r>
        <w:r w:rsidR="00301E36" w:rsidRPr="00301E36">
          <w:rPr>
            <w:noProof/>
            <w:webHidden/>
          </w:rPr>
          <w:instrText xml:space="preserve"> PAGEREF _Toc148367171 \h </w:instrText>
        </w:r>
        <w:r w:rsidR="00301E36" w:rsidRPr="00301E36">
          <w:rPr>
            <w:noProof/>
            <w:webHidden/>
          </w:rPr>
        </w:r>
        <w:r w:rsidR="00301E36" w:rsidRPr="00301E36">
          <w:rPr>
            <w:noProof/>
            <w:webHidden/>
          </w:rPr>
          <w:fldChar w:fldCharType="separate"/>
        </w:r>
        <w:r w:rsidR="00301E36" w:rsidRPr="00301E36">
          <w:rPr>
            <w:noProof/>
            <w:webHidden/>
          </w:rPr>
          <w:t>3</w:t>
        </w:r>
        <w:r w:rsidR="00301E36" w:rsidRPr="00301E36">
          <w:rPr>
            <w:noProof/>
            <w:webHidden/>
          </w:rPr>
          <w:fldChar w:fldCharType="end"/>
        </w:r>
      </w:hyperlink>
    </w:p>
    <w:p w14:paraId="5BC991C0" w14:textId="1706FD81" w:rsidR="00301E36" w:rsidRPr="00301E36" w:rsidRDefault="00D53A8E">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48367172" w:history="1">
        <w:r w:rsidR="00301E36" w:rsidRPr="00301E36">
          <w:rPr>
            <w:rStyle w:val="Hyperlink"/>
            <w:noProof/>
          </w:rPr>
          <w:t>4.</w:t>
        </w:r>
        <w:r w:rsidR="00301E36" w:rsidRPr="00301E36">
          <w:rPr>
            <w:rFonts w:asciiTheme="minorHAnsi" w:eastAsiaTheme="minorEastAsia" w:hAnsiTheme="minorHAnsi" w:cstheme="minorBidi"/>
            <w:b w:val="0"/>
            <w:bCs w:val="0"/>
            <w:caps w:val="0"/>
            <w:noProof/>
            <w:sz w:val="22"/>
            <w:szCs w:val="22"/>
          </w:rPr>
          <w:tab/>
        </w:r>
        <w:r w:rsidR="00301E36" w:rsidRPr="00301E36">
          <w:rPr>
            <w:rStyle w:val="Hyperlink"/>
            <w:noProof/>
          </w:rPr>
          <w:t>Volume of sales</w:t>
        </w:r>
        <w:r w:rsidR="00301E36" w:rsidRPr="00301E36">
          <w:rPr>
            <w:noProof/>
            <w:webHidden/>
          </w:rPr>
          <w:tab/>
        </w:r>
        <w:r w:rsidR="00301E36" w:rsidRPr="00301E36">
          <w:rPr>
            <w:noProof/>
            <w:webHidden/>
          </w:rPr>
          <w:fldChar w:fldCharType="begin"/>
        </w:r>
        <w:r w:rsidR="00301E36" w:rsidRPr="00301E36">
          <w:rPr>
            <w:noProof/>
            <w:webHidden/>
          </w:rPr>
          <w:instrText xml:space="preserve"> PAGEREF _Toc148367172 \h </w:instrText>
        </w:r>
        <w:r w:rsidR="00301E36" w:rsidRPr="00301E36">
          <w:rPr>
            <w:noProof/>
            <w:webHidden/>
          </w:rPr>
        </w:r>
        <w:r w:rsidR="00301E36" w:rsidRPr="00301E36">
          <w:rPr>
            <w:noProof/>
            <w:webHidden/>
          </w:rPr>
          <w:fldChar w:fldCharType="separate"/>
        </w:r>
        <w:r w:rsidR="00301E36" w:rsidRPr="00301E36">
          <w:rPr>
            <w:noProof/>
            <w:webHidden/>
          </w:rPr>
          <w:t>4</w:t>
        </w:r>
        <w:r w:rsidR="00301E36" w:rsidRPr="00301E36">
          <w:rPr>
            <w:noProof/>
            <w:webHidden/>
          </w:rPr>
          <w:fldChar w:fldCharType="end"/>
        </w:r>
      </w:hyperlink>
    </w:p>
    <w:p w14:paraId="5EE95BB9" w14:textId="2AB6B895" w:rsidR="00301E36" w:rsidRPr="00301E36" w:rsidRDefault="00D53A8E">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48367173" w:history="1">
        <w:r w:rsidR="00301E36" w:rsidRPr="00301E36">
          <w:rPr>
            <w:rStyle w:val="Hyperlink"/>
            <w:noProof/>
          </w:rPr>
          <w:t>5.</w:t>
        </w:r>
        <w:r w:rsidR="00301E36" w:rsidRPr="00301E36">
          <w:rPr>
            <w:rFonts w:asciiTheme="minorHAnsi" w:eastAsiaTheme="minorEastAsia" w:hAnsiTheme="minorHAnsi" w:cstheme="minorBidi"/>
            <w:b w:val="0"/>
            <w:bCs w:val="0"/>
            <w:caps w:val="0"/>
            <w:noProof/>
            <w:sz w:val="22"/>
            <w:szCs w:val="22"/>
          </w:rPr>
          <w:tab/>
        </w:r>
        <w:r w:rsidR="00301E36" w:rsidRPr="00301E36">
          <w:rPr>
            <w:rStyle w:val="Hyperlink"/>
            <w:noProof/>
          </w:rPr>
          <w:t>Size and other characteristics of the population using the device</w:t>
        </w:r>
        <w:r w:rsidR="00301E36" w:rsidRPr="00301E36">
          <w:rPr>
            <w:noProof/>
            <w:webHidden/>
          </w:rPr>
          <w:tab/>
        </w:r>
        <w:r w:rsidR="00301E36" w:rsidRPr="00301E36">
          <w:rPr>
            <w:noProof/>
            <w:webHidden/>
          </w:rPr>
          <w:fldChar w:fldCharType="begin"/>
        </w:r>
        <w:r w:rsidR="00301E36" w:rsidRPr="00301E36">
          <w:rPr>
            <w:noProof/>
            <w:webHidden/>
          </w:rPr>
          <w:instrText xml:space="preserve"> PAGEREF _Toc148367173 \h </w:instrText>
        </w:r>
        <w:r w:rsidR="00301E36" w:rsidRPr="00301E36">
          <w:rPr>
            <w:noProof/>
            <w:webHidden/>
          </w:rPr>
        </w:r>
        <w:r w:rsidR="00301E36" w:rsidRPr="00301E36">
          <w:rPr>
            <w:noProof/>
            <w:webHidden/>
          </w:rPr>
          <w:fldChar w:fldCharType="separate"/>
        </w:r>
        <w:r w:rsidR="00301E36" w:rsidRPr="00301E36">
          <w:rPr>
            <w:noProof/>
            <w:webHidden/>
          </w:rPr>
          <w:t>4</w:t>
        </w:r>
        <w:r w:rsidR="00301E36" w:rsidRPr="00301E36">
          <w:rPr>
            <w:noProof/>
            <w:webHidden/>
          </w:rPr>
          <w:fldChar w:fldCharType="end"/>
        </w:r>
      </w:hyperlink>
    </w:p>
    <w:p w14:paraId="3970B467" w14:textId="71A9F5AC" w:rsidR="00301E36" w:rsidRPr="00301E36" w:rsidRDefault="00D53A8E">
      <w:pPr>
        <w:pStyle w:val="TOC2"/>
        <w:tabs>
          <w:tab w:val="left" w:pos="880"/>
          <w:tab w:val="right" w:leader="dot" w:pos="9062"/>
        </w:tabs>
        <w:rPr>
          <w:rFonts w:asciiTheme="minorHAnsi" w:eastAsiaTheme="minorEastAsia" w:hAnsiTheme="minorHAnsi" w:cstheme="minorBidi"/>
          <w:smallCaps w:val="0"/>
          <w:noProof/>
          <w:sz w:val="22"/>
          <w:szCs w:val="22"/>
        </w:rPr>
      </w:pPr>
      <w:hyperlink w:anchor="_Toc148367174" w:history="1">
        <w:r w:rsidR="00301E36" w:rsidRPr="00301E36">
          <w:rPr>
            <w:rStyle w:val="Hyperlink"/>
            <w:noProof/>
          </w:rPr>
          <w:t>5.1.</w:t>
        </w:r>
        <w:r w:rsidR="00301E36" w:rsidRPr="00301E36">
          <w:rPr>
            <w:rFonts w:asciiTheme="minorHAnsi" w:eastAsiaTheme="minorEastAsia" w:hAnsiTheme="minorHAnsi" w:cstheme="minorBidi"/>
            <w:smallCaps w:val="0"/>
            <w:noProof/>
            <w:sz w:val="22"/>
            <w:szCs w:val="22"/>
          </w:rPr>
          <w:tab/>
        </w:r>
        <w:r w:rsidR="00301E36" w:rsidRPr="00301E36">
          <w:rPr>
            <w:rStyle w:val="Hyperlink"/>
            <w:noProof/>
          </w:rPr>
          <w:t>Estimated size of the population using the device over time</w:t>
        </w:r>
        <w:r w:rsidR="00301E36" w:rsidRPr="00301E36">
          <w:rPr>
            <w:noProof/>
            <w:webHidden/>
          </w:rPr>
          <w:tab/>
        </w:r>
        <w:r w:rsidR="00301E36" w:rsidRPr="00301E36">
          <w:rPr>
            <w:noProof/>
            <w:webHidden/>
          </w:rPr>
          <w:fldChar w:fldCharType="begin"/>
        </w:r>
        <w:r w:rsidR="00301E36" w:rsidRPr="00301E36">
          <w:rPr>
            <w:noProof/>
            <w:webHidden/>
          </w:rPr>
          <w:instrText xml:space="preserve"> PAGEREF _Toc148367174 \h </w:instrText>
        </w:r>
        <w:r w:rsidR="00301E36" w:rsidRPr="00301E36">
          <w:rPr>
            <w:noProof/>
            <w:webHidden/>
          </w:rPr>
        </w:r>
        <w:r w:rsidR="00301E36" w:rsidRPr="00301E36">
          <w:rPr>
            <w:noProof/>
            <w:webHidden/>
          </w:rPr>
          <w:fldChar w:fldCharType="separate"/>
        </w:r>
        <w:r w:rsidR="00301E36" w:rsidRPr="00301E36">
          <w:rPr>
            <w:noProof/>
            <w:webHidden/>
          </w:rPr>
          <w:t>4</w:t>
        </w:r>
        <w:r w:rsidR="00301E36" w:rsidRPr="00301E36">
          <w:rPr>
            <w:noProof/>
            <w:webHidden/>
          </w:rPr>
          <w:fldChar w:fldCharType="end"/>
        </w:r>
      </w:hyperlink>
    </w:p>
    <w:p w14:paraId="33C5B859" w14:textId="0CA9DADF" w:rsidR="00301E36" w:rsidRPr="00301E36" w:rsidRDefault="00D53A8E">
      <w:pPr>
        <w:pStyle w:val="TOC2"/>
        <w:tabs>
          <w:tab w:val="left" w:pos="880"/>
          <w:tab w:val="right" w:leader="dot" w:pos="9062"/>
        </w:tabs>
        <w:rPr>
          <w:rFonts w:asciiTheme="minorHAnsi" w:eastAsiaTheme="minorEastAsia" w:hAnsiTheme="minorHAnsi" w:cstheme="minorBidi"/>
          <w:smallCaps w:val="0"/>
          <w:noProof/>
          <w:sz w:val="22"/>
          <w:szCs w:val="22"/>
        </w:rPr>
      </w:pPr>
      <w:hyperlink w:anchor="_Toc148367175" w:history="1">
        <w:r w:rsidR="00301E36" w:rsidRPr="00301E36">
          <w:rPr>
            <w:rStyle w:val="Hyperlink"/>
            <w:noProof/>
          </w:rPr>
          <w:t>5.2.</w:t>
        </w:r>
        <w:r w:rsidR="00301E36" w:rsidRPr="00301E36">
          <w:rPr>
            <w:rFonts w:asciiTheme="minorHAnsi" w:eastAsiaTheme="minorEastAsia" w:hAnsiTheme="minorHAnsi" w:cstheme="minorBidi"/>
            <w:smallCaps w:val="0"/>
            <w:noProof/>
            <w:sz w:val="22"/>
            <w:szCs w:val="22"/>
          </w:rPr>
          <w:tab/>
        </w:r>
        <w:r w:rsidR="00301E36" w:rsidRPr="00301E36">
          <w:rPr>
            <w:rStyle w:val="Hyperlink"/>
            <w:noProof/>
          </w:rPr>
          <w:t>Characteristics of the population using the device over time</w:t>
        </w:r>
        <w:r w:rsidR="00301E36" w:rsidRPr="00301E36">
          <w:rPr>
            <w:noProof/>
            <w:webHidden/>
          </w:rPr>
          <w:tab/>
        </w:r>
        <w:r w:rsidR="00301E36" w:rsidRPr="00301E36">
          <w:rPr>
            <w:noProof/>
            <w:webHidden/>
          </w:rPr>
          <w:fldChar w:fldCharType="begin"/>
        </w:r>
        <w:r w:rsidR="00301E36" w:rsidRPr="00301E36">
          <w:rPr>
            <w:noProof/>
            <w:webHidden/>
          </w:rPr>
          <w:instrText xml:space="preserve"> PAGEREF _Toc148367175 \h </w:instrText>
        </w:r>
        <w:r w:rsidR="00301E36" w:rsidRPr="00301E36">
          <w:rPr>
            <w:noProof/>
            <w:webHidden/>
          </w:rPr>
        </w:r>
        <w:r w:rsidR="00301E36" w:rsidRPr="00301E36">
          <w:rPr>
            <w:noProof/>
            <w:webHidden/>
          </w:rPr>
          <w:fldChar w:fldCharType="separate"/>
        </w:r>
        <w:r w:rsidR="00301E36" w:rsidRPr="00301E36">
          <w:rPr>
            <w:noProof/>
            <w:webHidden/>
          </w:rPr>
          <w:t>4</w:t>
        </w:r>
        <w:r w:rsidR="00301E36" w:rsidRPr="00301E36">
          <w:rPr>
            <w:noProof/>
            <w:webHidden/>
          </w:rPr>
          <w:fldChar w:fldCharType="end"/>
        </w:r>
      </w:hyperlink>
    </w:p>
    <w:p w14:paraId="433DFB82" w14:textId="5009CE86" w:rsidR="00301E36" w:rsidRPr="00301E36" w:rsidRDefault="00D53A8E">
      <w:pPr>
        <w:pStyle w:val="TOC2"/>
        <w:tabs>
          <w:tab w:val="left" w:pos="880"/>
          <w:tab w:val="right" w:leader="dot" w:pos="9062"/>
        </w:tabs>
        <w:rPr>
          <w:rFonts w:asciiTheme="minorHAnsi" w:eastAsiaTheme="minorEastAsia" w:hAnsiTheme="minorHAnsi" w:cstheme="minorBidi"/>
          <w:smallCaps w:val="0"/>
          <w:noProof/>
          <w:sz w:val="22"/>
          <w:szCs w:val="22"/>
        </w:rPr>
      </w:pPr>
      <w:hyperlink w:anchor="_Toc148367176" w:history="1">
        <w:r w:rsidR="00301E36" w:rsidRPr="00301E36">
          <w:rPr>
            <w:rStyle w:val="Hyperlink"/>
            <w:noProof/>
          </w:rPr>
          <w:t>5.3.</w:t>
        </w:r>
        <w:r w:rsidR="00301E36" w:rsidRPr="00301E36">
          <w:rPr>
            <w:rFonts w:asciiTheme="minorHAnsi" w:eastAsiaTheme="minorEastAsia" w:hAnsiTheme="minorHAnsi" w:cstheme="minorBidi"/>
            <w:smallCaps w:val="0"/>
            <w:noProof/>
            <w:sz w:val="22"/>
            <w:szCs w:val="22"/>
          </w:rPr>
          <w:tab/>
        </w:r>
        <w:r w:rsidR="00301E36" w:rsidRPr="00301E36">
          <w:rPr>
            <w:rStyle w:val="Hyperlink"/>
            <w:noProof/>
          </w:rPr>
          <w:t>Evaluation of device usage over time by patient groups</w:t>
        </w:r>
        <w:r w:rsidR="00301E36" w:rsidRPr="00301E36">
          <w:rPr>
            <w:noProof/>
            <w:webHidden/>
          </w:rPr>
          <w:tab/>
        </w:r>
        <w:r w:rsidR="00301E36" w:rsidRPr="00301E36">
          <w:rPr>
            <w:noProof/>
            <w:webHidden/>
          </w:rPr>
          <w:fldChar w:fldCharType="begin"/>
        </w:r>
        <w:r w:rsidR="00301E36" w:rsidRPr="00301E36">
          <w:rPr>
            <w:noProof/>
            <w:webHidden/>
          </w:rPr>
          <w:instrText xml:space="preserve"> PAGEREF _Toc148367176 \h </w:instrText>
        </w:r>
        <w:r w:rsidR="00301E36" w:rsidRPr="00301E36">
          <w:rPr>
            <w:noProof/>
            <w:webHidden/>
          </w:rPr>
        </w:r>
        <w:r w:rsidR="00301E36" w:rsidRPr="00301E36">
          <w:rPr>
            <w:noProof/>
            <w:webHidden/>
          </w:rPr>
          <w:fldChar w:fldCharType="separate"/>
        </w:r>
        <w:r w:rsidR="00301E36" w:rsidRPr="00301E36">
          <w:rPr>
            <w:noProof/>
            <w:webHidden/>
          </w:rPr>
          <w:t>5</w:t>
        </w:r>
        <w:r w:rsidR="00301E36" w:rsidRPr="00301E36">
          <w:rPr>
            <w:noProof/>
            <w:webHidden/>
          </w:rPr>
          <w:fldChar w:fldCharType="end"/>
        </w:r>
      </w:hyperlink>
    </w:p>
    <w:p w14:paraId="3BE68783" w14:textId="0DB34B7F" w:rsidR="00301E36" w:rsidRPr="00301E36" w:rsidRDefault="00D53A8E">
      <w:pPr>
        <w:pStyle w:val="TOC2"/>
        <w:tabs>
          <w:tab w:val="left" w:pos="880"/>
          <w:tab w:val="right" w:leader="dot" w:pos="9062"/>
        </w:tabs>
        <w:rPr>
          <w:rFonts w:asciiTheme="minorHAnsi" w:eastAsiaTheme="minorEastAsia" w:hAnsiTheme="minorHAnsi" w:cstheme="minorBidi"/>
          <w:smallCaps w:val="0"/>
          <w:noProof/>
          <w:sz w:val="22"/>
          <w:szCs w:val="22"/>
        </w:rPr>
      </w:pPr>
      <w:hyperlink w:anchor="_Toc148367177" w:history="1">
        <w:r w:rsidR="00301E36" w:rsidRPr="00301E36">
          <w:rPr>
            <w:rStyle w:val="Hyperlink"/>
            <w:noProof/>
          </w:rPr>
          <w:t>5.4.</w:t>
        </w:r>
        <w:r w:rsidR="00301E36" w:rsidRPr="00301E36">
          <w:rPr>
            <w:rFonts w:asciiTheme="minorHAnsi" w:eastAsiaTheme="minorEastAsia" w:hAnsiTheme="minorHAnsi" w:cstheme="minorBidi"/>
            <w:smallCaps w:val="0"/>
            <w:noProof/>
            <w:sz w:val="22"/>
            <w:szCs w:val="22"/>
          </w:rPr>
          <w:tab/>
        </w:r>
        <w:r w:rsidR="00301E36" w:rsidRPr="00301E36">
          <w:rPr>
            <w:rStyle w:val="Hyperlink"/>
            <w:noProof/>
          </w:rPr>
          <w:t>Comparison with previous PSUR</w:t>
        </w:r>
        <w:r w:rsidR="00301E36" w:rsidRPr="00301E36">
          <w:rPr>
            <w:noProof/>
            <w:webHidden/>
          </w:rPr>
          <w:tab/>
        </w:r>
        <w:r w:rsidR="00301E36" w:rsidRPr="00301E36">
          <w:rPr>
            <w:noProof/>
            <w:webHidden/>
          </w:rPr>
          <w:fldChar w:fldCharType="begin"/>
        </w:r>
        <w:r w:rsidR="00301E36" w:rsidRPr="00301E36">
          <w:rPr>
            <w:noProof/>
            <w:webHidden/>
          </w:rPr>
          <w:instrText xml:space="preserve"> PAGEREF _Toc148367177 \h </w:instrText>
        </w:r>
        <w:r w:rsidR="00301E36" w:rsidRPr="00301E36">
          <w:rPr>
            <w:noProof/>
            <w:webHidden/>
          </w:rPr>
        </w:r>
        <w:r w:rsidR="00301E36" w:rsidRPr="00301E36">
          <w:rPr>
            <w:noProof/>
            <w:webHidden/>
          </w:rPr>
          <w:fldChar w:fldCharType="separate"/>
        </w:r>
        <w:r w:rsidR="00301E36" w:rsidRPr="00301E36">
          <w:rPr>
            <w:noProof/>
            <w:webHidden/>
          </w:rPr>
          <w:t>5</w:t>
        </w:r>
        <w:r w:rsidR="00301E36" w:rsidRPr="00301E36">
          <w:rPr>
            <w:noProof/>
            <w:webHidden/>
          </w:rPr>
          <w:fldChar w:fldCharType="end"/>
        </w:r>
      </w:hyperlink>
    </w:p>
    <w:p w14:paraId="15E98BE7" w14:textId="7AAC814D" w:rsidR="00301E36" w:rsidRPr="00301E36" w:rsidRDefault="00D53A8E">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48367178" w:history="1">
        <w:r w:rsidR="00301E36" w:rsidRPr="00301E36">
          <w:rPr>
            <w:rStyle w:val="Hyperlink"/>
            <w:noProof/>
          </w:rPr>
          <w:t>6.</w:t>
        </w:r>
        <w:r w:rsidR="00301E36" w:rsidRPr="00301E36">
          <w:rPr>
            <w:rFonts w:asciiTheme="minorHAnsi" w:eastAsiaTheme="minorEastAsia" w:hAnsiTheme="minorHAnsi" w:cstheme="minorBidi"/>
            <w:b w:val="0"/>
            <w:bCs w:val="0"/>
            <w:caps w:val="0"/>
            <w:noProof/>
            <w:sz w:val="22"/>
            <w:szCs w:val="22"/>
          </w:rPr>
          <w:tab/>
        </w:r>
        <w:r w:rsidR="00301E36" w:rsidRPr="00301E36">
          <w:rPr>
            <w:rStyle w:val="Hyperlink"/>
            <w:noProof/>
          </w:rPr>
          <w:t>Post-market surveillance: Vigilance and CAPA information</w:t>
        </w:r>
        <w:r w:rsidR="00301E36" w:rsidRPr="00301E36">
          <w:rPr>
            <w:noProof/>
            <w:webHidden/>
          </w:rPr>
          <w:tab/>
        </w:r>
        <w:r w:rsidR="00301E36" w:rsidRPr="00301E36">
          <w:rPr>
            <w:noProof/>
            <w:webHidden/>
          </w:rPr>
          <w:fldChar w:fldCharType="begin"/>
        </w:r>
        <w:r w:rsidR="00301E36" w:rsidRPr="00301E36">
          <w:rPr>
            <w:noProof/>
            <w:webHidden/>
          </w:rPr>
          <w:instrText xml:space="preserve"> PAGEREF _Toc148367178 \h </w:instrText>
        </w:r>
        <w:r w:rsidR="00301E36" w:rsidRPr="00301E36">
          <w:rPr>
            <w:noProof/>
            <w:webHidden/>
          </w:rPr>
        </w:r>
        <w:r w:rsidR="00301E36" w:rsidRPr="00301E36">
          <w:rPr>
            <w:noProof/>
            <w:webHidden/>
          </w:rPr>
          <w:fldChar w:fldCharType="separate"/>
        </w:r>
        <w:r w:rsidR="00301E36" w:rsidRPr="00301E36">
          <w:rPr>
            <w:noProof/>
            <w:webHidden/>
          </w:rPr>
          <w:t>5</w:t>
        </w:r>
        <w:r w:rsidR="00301E36" w:rsidRPr="00301E36">
          <w:rPr>
            <w:noProof/>
            <w:webHidden/>
          </w:rPr>
          <w:fldChar w:fldCharType="end"/>
        </w:r>
      </w:hyperlink>
    </w:p>
    <w:p w14:paraId="3BA8D231" w14:textId="495790AE" w:rsidR="00301E36" w:rsidRPr="00301E36" w:rsidRDefault="00D53A8E">
      <w:pPr>
        <w:pStyle w:val="TOC2"/>
        <w:tabs>
          <w:tab w:val="left" w:pos="880"/>
          <w:tab w:val="right" w:leader="dot" w:pos="9062"/>
        </w:tabs>
        <w:rPr>
          <w:rFonts w:asciiTheme="minorHAnsi" w:eastAsiaTheme="minorEastAsia" w:hAnsiTheme="minorHAnsi" w:cstheme="minorBidi"/>
          <w:smallCaps w:val="0"/>
          <w:noProof/>
          <w:sz w:val="22"/>
          <w:szCs w:val="22"/>
        </w:rPr>
      </w:pPr>
      <w:hyperlink w:anchor="_Toc148367179" w:history="1">
        <w:r w:rsidR="00301E36" w:rsidRPr="00301E36">
          <w:rPr>
            <w:rStyle w:val="Hyperlink"/>
            <w:noProof/>
          </w:rPr>
          <w:t>6.1.</w:t>
        </w:r>
        <w:r w:rsidR="00301E36" w:rsidRPr="00301E36">
          <w:rPr>
            <w:rFonts w:asciiTheme="minorHAnsi" w:eastAsiaTheme="minorEastAsia" w:hAnsiTheme="minorHAnsi" w:cstheme="minorBidi"/>
            <w:smallCaps w:val="0"/>
            <w:noProof/>
            <w:sz w:val="22"/>
            <w:szCs w:val="22"/>
          </w:rPr>
          <w:tab/>
        </w:r>
        <w:r w:rsidR="00301E36" w:rsidRPr="00301E36">
          <w:rPr>
            <w:rStyle w:val="Hyperlink"/>
            <w:noProof/>
          </w:rPr>
          <w:t>Information concerning serious incidents</w:t>
        </w:r>
        <w:r w:rsidR="00301E36" w:rsidRPr="00301E36">
          <w:rPr>
            <w:noProof/>
            <w:webHidden/>
          </w:rPr>
          <w:tab/>
        </w:r>
        <w:r w:rsidR="00301E36" w:rsidRPr="00301E36">
          <w:rPr>
            <w:noProof/>
            <w:webHidden/>
          </w:rPr>
          <w:fldChar w:fldCharType="begin"/>
        </w:r>
        <w:r w:rsidR="00301E36" w:rsidRPr="00301E36">
          <w:rPr>
            <w:noProof/>
            <w:webHidden/>
          </w:rPr>
          <w:instrText xml:space="preserve"> PAGEREF _Toc148367179 \h </w:instrText>
        </w:r>
        <w:r w:rsidR="00301E36" w:rsidRPr="00301E36">
          <w:rPr>
            <w:noProof/>
            <w:webHidden/>
          </w:rPr>
        </w:r>
        <w:r w:rsidR="00301E36" w:rsidRPr="00301E36">
          <w:rPr>
            <w:noProof/>
            <w:webHidden/>
          </w:rPr>
          <w:fldChar w:fldCharType="separate"/>
        </w:r>
        <w:r w:rsidR="00301E36" w:rsidRPr="00301E36">
          <w:rPr>
            <w:noProof/>
            <w:webHidden/>
          </w:rPr>
          <w:t>5</w:t>
        </w:r>
        <w:r w:rsidR="00301E36" w:rsidRPr="00301E36">
          <w:rPr>
            <w:noProof/>
            <w:webHidden/>
          </w:rPr>
          <w:fldChar w:fldCharType="end"/>
        </w:r>
      </w:hyperlink>
    </w:p>
    <w:p w14:paraId="56948142" w14:textId="3AC41F83" w:rsidR="00301E36" w:rsidRPr="00301E36" w:rsidRDefault="00D53A8E">
      <w:pPr>
        <w:pStyle w:val="TOC3"/>
        <w:tabs>
          <w:tab w:val="left" w:pos="1320"/>
          <w:tab w:val="right" w:leader="dot" w:pos="9062"/>
        </w:tabs>
        <w:rPr>
          <w:rFonts w:asciiTheme="minorHAnsi" w:eastAsiaTheme="minorEastAsia" w:hAnsiTheme="minorHAnsi" w:cstheme="minorBidi"/>
          <w:i w:val="0"/>
          <w:iCs w:val="0"/>
          <w:noProof/>
          <w:sz w:val="22"/>
          <w:szCs w:val="22"/>
        </w:rPr>
      </w:pPr>
      <w:hyperlink w:anchor="_Toc148367180" w:history="1">
        <w:r w:rsidR="00301E36" w:rsidRPr="00301E36">
          <w:rPr>
            <w:rStyle w:val="Hyperlink"/>
            <w:noProof/>
          </w:rPr>
          <w:t>6.1.1.</w:t>
        </w:r>
        <w:r w:rsidR="00301E36" w:rsidRPr="00301E36">
          <w:rPr>
            <w:rFonts w:asciiTheme="minorHAnsi" w:eastAsiaTheme="minorEastAsia" w:hAnsiTheme="minorHAnsi" w:cstheme="minorBidi"/>
            <w:i w:val="0"/>
            <w:iCs w:val="0"/>
            <w:noProof/>
            <w:sz w:val="22"/>
            <w:szCs w:val="22"/>
          </w:rPr>
          <w:tab/>
        </w:r>
        <w:r w:rsidR="00301E36" w:rsidRPr="00301E36">
          <w:rPr>
            <w:rStyle w:val="Hyperlink"/>
            <w:noProof/>
          </w:rPr>
          <w:t>Total number (N) and rate (%) of serious incidents by IMDRF Adverse Event Terminology (AET) Annex A – Medical Device Problem by time and region over time</w:t>
        </w:r>
        <w:r w:rsidR="00301E36" w:rsidRPr="00301E36">
          <w:rPr>
            <w:noProof/>
            <w:webHidden/>
          </w:rPr>
          <w:tab/>
        </w:r>
        <w:r w:rsidR="00301E36" w:rsidRPr="00301E36">
          <w:rPr>
            <w:noProof/>
            <w:webHidden/>
          </w:rPr>
          <w:fldChar w:fldCharType="begin"/>
        </w:r>
        <w:r w:rsidR="00301E36" w:rsidRPr="00301E36">
          <w:rPr>
            <w:noProof/>
            <w:webHidden/>
          </w:rPr>
          <w:instrText xml:space="preserve"> PAGEREF _Toc148367180 \h </w:instrText>
        </w:r>
        <w:r w:rsidR="00301E36" w:rsidRPr="00301E36">
          <w:rPr>
            <w:noProof/>
            <w:webHidden/>
          </w:rPr>
        </w:r>
        <w:r w:rsidR="00301E36" w:rsidRPr="00301E36">
          <w:rPr>
            <w:noProof/>
            <w:webHidden/>
          </w:rPr>
          <w:fldChar w:fldCharType="separate"/>
        </w:r>
        <w:r w:rsidR="00301E36" w:rsidRPr="00301E36">
          <w:rPr>
            <w:noProof/>
            <w:webHidden/>
          </w:rPr>
          <w:t>5</w:t>
        </w:r>
        <w:r w:rsidR="00301E36" w:rsidRPr="00301E36">
          <w:rPr>
            <w:noProof/>
            <w:webHidden/>
          </w:rPr>
          <w:fldChar w:fldCharType="end"/>
        </w:r>
      </w:hyperlink>
    </w:p>
    <w:p w14:paraId="1A2FAA8E" w14:textId="1A111CF2" w:rsidR="00301E36" w:rsidRPr="00301E36" w:rsidRDefault="00D53A8E">
      <w:pPr>
        <w:pStyle w:val="TOC3"/>
        <w:tabs>
          <w:tab w:val="left" w:pos="1320"/>
          <w:tab w:val="right" w:leader="dot" w:pos="9062"/>
        </w:tabs>
        <w:rPr>
          <w:rFonts w:asciiTheme="minorHAnsi" w:eastAsiaTheme="minorEastAsia" w:hAnsiTheme="minorHAnsi" w:cstheme="minorBidi"/>
          <w:i w:val="0"/>
          <w:iCs w:val="0"/>
          <w:noProof/>
          <w:sz w:val="22"/>
          <w:szCs w:val="22"/>
        </w:rPr>
      </w:pPr>
      <w:hyperlink w:anchor="_Toc148367181" w:history="1">
        <w:r w:rsidR="00301E36" w:rsidRPr="00301E36">
          <w:rPr>
            <w:rStyle w:val="Hyperlink"/>
            <w:noProof/>
          </w:rPr>
          <w:t>6.1.2.</w:t>
        </w:r>
        <w:r w:rsidR="00301E36" w:rsidRPr="00301E36">
          <w:rPr>
            <w:rFonts w:asciiTheme="minorHAnsi" w:eastAsiaTheme="minorEastAsia" w:hAnsiTheme="minorHAnsi" w:cstheme="minorBidi"/>
            <w:i w:val="0"/>
            <w:iCs w:val="0"/>
            <w:noProof/>
            <w:sz w:val="22"/>
            <w:szCs w:val="22"/>
          </w:rPr>
          <w:tab/>
        </w:r>
        <w:r w:rsidR="00301E36" w:rsidRPr="00301E36">
          <w:rPr>
            <w:rStyle w:val="Hyperlink"/>
            <w:noProof/>
          </w:rPr>
          <w:t>Total number (N) and rate (%)* of the serious incidents by IMDRF AET Annex C - Cause Investigation - Investigation Findings by time and region over time</w:t>
        </w:r>
        <w:r w:rsidR="00301E36" w:rsidRPr="00301E36">
          <w:rPr>
            <w:noProof/>
            <w:webHidden/>
          </w:rPr>
          <w:tab/>
        </w:r>
        <w:r w:rsidR="00301E36" w:rsidRPr="00301E36">
          <w:rPr>
            <w:noProof/>
            <w:webHidden/>
          </w:rPr>
          <w:fldChar w:fldCharType="begin"/>
        </w:r>
        <w:r w:rsidR="00301E36" w:rsidRPr="00301E36">
          <w:rPr>
            <w:noProof/>
            <w:webHidden/>
          </w:rPr>
          <w:instrText xml:space="preserve"> PAGEREF _Toc148367181 \h </w:instrText>
        </w:r>
        <w:r w:rsidR="00301E36" w:rsidRPr="00301E36">
          <w:rPr>
            <w:noProof/>
            <w:webHidden/>
          </w:rPr>
        </w:r>
        <w:r w:rsidR="00301E36" w:rsidRPr="00301E36">
          <w:rPr>
            <w:noProof/>
            <w:webHidden/>
          </w:rPr>
          <w:fldChar w:fldCharType="separate"/>
        </w:r>
        <w:r w:rsidR="00301E36" w:rsidRPr="00301E36">
          <w:rPr>
            <w:noProof/>
            <w:webHidden/>
          </w:rPr>
          <w:t>6</w:t>
        </w:r>
        <w:r w:rsidR="00301E36" w:rsidRPr="00301E36">
          <w:rPr>
            <w:noProof/>
            <w:webHidden/>
          </w:rPr>
          <w:fldChar w:fldCharType="end"/>
        </w:r>
      </w:hyperlink>
    </w:p>
    <w:p w14:paraId="31AEBA71" w14:textId="17F96321" w:rsidR="00301E36" w:rsidRPr="00301E36" w:rsidRDefault="00D53A8E">
      <w:pPr>
        <w:pStyle w:val="TOC3"/>
        <w:tabs>
          <w:tab w:val="left" w:pos="1320"/>
          <w:tab w:val="right" w:leader="dot" w:pos="9062"/>
        </w:tabs>
        <w:rPr>
          <w:rFonts w:asciiTheme="minorHAnsi" w:eastAsiaTheme="minorEastAsia" w:hAnsiTheme="minorHAnsi" w:cstheme="minorBidi"/>
          <w:i w:val="0"/>
          <w:iCs w:val="0"/>
          <w:noProof/>
          <w:sz w:val="22"/>
          <w:szCs w:val="22"/>
        </w:rPr>
      </w:pPr>
      <w:hyperlink w:anchor="_Toc148367182" w:history="1">
        <w:r w:rsidR="00301E36" w:rsidRPr="00301E36">
          <w:rPr>
            <w:rStyle w:val="Hyperlink"/>
            <w:noProof/>
          </w:rPr>
          <w:t>6.1.3.</w:t>
        </w:r>
        <w:r w:rsidR="00301E36" w:rsidRPr="00301E36">
          <w:rPr>
            <w:rFonts w:asciiTheme="minorHAnsi" w:eastAsiaTheme="minorEastAsia" w:hAnsiTheme="minorHAnsi" w:cstheme="minorBidi"/>
            <w:i w:val="0"/>
            <w:iCs w:val="0"/>
            <w:noProof/>
            <w:sz w:val="22"/>
            <w:szCs w:val="22"/>
          </w:rPr>
          <w:tab/>
        </w:r>
        <w:r w:rsidR="00301E36" w:rsidRPr="00301E36">
          <w:rPr>
            <w:rStyle w:val="Hyperlink"/>
            <w:noProof/>
          </w:rPr>
          <w:t>IMDRF AET Annex F – Health Effects – Health Impact code of the serious incidents by IMDRF AET Annex D – Investigation Conclusion in last 4 years</w:t>
        </w:r>
        <w:r w:rsidR="00301E36" w:rsidRPr="00301E36">
          <w:rPr>
            <w:noProof/>
            <w:webHidden/>
          </w:rPr>
          <w:tab/>
        </w:r>
        <w:r w:rsidR="00301E36" w:rsidRPr="00301E36">
          <w:rPr>
            <w:noProof/>
            <w:webHidden/>
          </w:rPr>
          <w:fldChar w:fldCharType="begin"/>
        </w:r>
        <w:r w:rsidR="00301E36" w:rsidRPr="00301E36">
          <w:rPr>
            <w:noProof/>
            <w:webHidden/>
          </w:rPr>
          <w:instrText xml:space="preserve"> PAGEREF _Toc148367182 \h </w:instrText>
        </w:r>
        <w:r w:rsidR="00301E36" w:rsidRPr="00301E36">
          <w:rPr>
            <w:noProof/>
            <w:webHidden/>
          </w:rPr>
        </w:r>
        <w:r w:rsidR="00301E36" w:rsidRPr="00301E36">
          <w:rPr>
            <w:noProof/>
            <w:webHidden/>
          </w:rPr>
          <w:fldChar w:fldCharType="separate"/>
        </w:r>
        <w:r w:rsidR="00301E36" w:rsidRPr="00301E36">
          <w:rPr>
            <w:noProof/>
            <w:webHidden/>
          </w:rPr>
          <w:t>6</w:t>
        </w:r>
        <w:r w:rsidR="00301E36" w:rsidRPr="00301E36">
          <w:rPr>
            <w:noProof/>
            <w:webHidden/>
          </w:rPr>
          <w:fldChar w:fldCharType="end"/>
        </w:r>
      </w:hyperlink>
    </w:p>
    <w:p w14:paraId="17334503" w14:textId="2FA831A7" w:rsidR="00301E36" w:rsidRPr="00301E36" w:rsidRDefault="00D53A8E">
      <w:pPr>
        <w:pStyle w:val="TOC3"/>
        <w:tabs>
          <w:tab w:val="left" w:pos="1320"/>
          <w:tab w:val="right" w:leader="dot" w:pos="9062"/>
        </w:tabs>
        <w:rPr>
          <w:rFonts w:asciiTheme="minorHAnsi" w:eastAsiaTheme="minorEastAsia" w:hAnsiTheme="minorHAnsi" w:cstheme="minorBidi"/>
          <w:i w:val="0"/>
          <w:iCs w:val="0"/>
          <w:noProof/>
          <w:sz w:val="22"/>
          <w:szCs w:val="22"/>
        </w:rPr>
      </w:pPr>
      <w:hyperlink w:anchor="_Toc148367183" w:history="1">
        <w:r w:rsidR="00301E36" w:rsidRPr="00301E36">
          <w:rPr>
            <w:rStyle w:val="Hyperlink"/>
            <w:noProof/>
          </w:rPr>
          <w:t>6.1.4.</w:t>
        </w:r>
        <w:r w:rsidR="00301E36" w:rsidRPr="00301E36">
          <w:rPr>
            <w:rFonts w:asciiTheme="minorHAnsi" w:eastAsiaTheme="minorEastAsia" w:hAnsiTheme="minorHAnsi" w:cstheme="minorBidi"/>
            <w:i w:val="0"/>
            <w:iCs w:val="0"/>
            <w:noProof/>
            <w:sz w:val="22"/>
            <w:szCs w:val="22"/>
          </w:rPr>
          <w:tab/>
        </w:r>
        <w:r w:rsidR="00301E36" w:rsidRPr="00301E36">
          <w:rPr>
            <w:rStyle w:val="Hyperlink"/>
            <w:noProof/>
          </w:rPr>
          <w:t>Summary</w:t>
        </w:r>
        <w:r w:rsidR="00301E36" w:rsidRPr="00301E36">
          <w:rPr>
            <w:noProof/>
            <w:webHidden/>
          </w:rPr>
          <w:tab/>
        </w:r>
        <w:r w:rsidR="00301E36" w:rsidRPr="00301E36">
          <w:rPr>
            <w:noProof/>
            <w:webHidden/>
          </w:rPr>
          <w:fldChar w:fldCharType="begin"/>
        </w:r>
        <w:r w:rsidR="00301E36" w:rsidRPr="00301E36">
          <w:rPr>
            <w:noProof/>
            <w:webHidden/>
          </w:rPr>
          <w:instrText xml:space="preserve"> PAGEREF _Toc148367183 \h </w:instrText>
        </w:r>
        <w:r w:rsidR="00301E36" w:rsidRPr="00301E36">
          <w:rPr>
            <w:noProof/>
            <w:webHidden/>
          </w:rPr>
        </w:r>
        <w:r w:rsidR="00301E36" w:rsidRPr="00301E36">
          <w:rPr>
            <w:noProof/>
            <w:webHidden/>
          </w:rPr>
          <w:fldChar w:fldCharType="separate"/>
        </w:r>
        <w:r w:rsidR="00301E36" w:rsidRPr="00301E36">
          <w:rPr>
            <w:noProof/>
            <w:webHidden/>
          </w:rPr>
          <w:t>7</w:t>
        </w:r>
        <w:r w:rsidR="00301E36" w:rsidRPr="00301E36">
          <w:rPr>
            <w:noProof/>
            <w:webHidden/>
          </w:rPr>
          <w:fldChar w:fldCharType="end"/>
        </w:r>
      </w:hyperlink>
    </w:p>
    <w:p w14:paraId="24EB5444" w14:textId="78A4AD06" w:rsidR="00301E36" w:rsidRPr="00301E36" w:rsidRDefault="00D53A8E">
      <w:pPr>
        <w:pStyle w:val="TOC2"/>
        <w:tabs>
          <w:tab w:val="left" w:pos="880"/>
          <w:tab w:val="right" w:leader="dot" w:pos="9062"/>
        </w:tabs>
        <w:rPr>
          <w:rFonts w:asciiTheme="minorHAnsi" w:eastAsiaTheme="minorEastAsia" w:hAnsiTheme="minorHAnsi" w:cstheme="minorBidi"/>
          <w:smallCaps w:val="0"/>
          <w:noProof/>
          <w:sz w:val="22"/>
          <w:szCs w:val="22"/>
        </w:rPr>
      </w:pPr>
      <w:hyperlink w:anchor="_Toc148367184" w:history="1">
        <w:r w:rsidR="00301E36" w:rsidRPr="00301E36">
          <w:rPr>
            <w:rStyle w:val="Hyperlink"/>
            <w:noProof/>
          </w:rPr>
          <w:t>6.2.</w:t>
        </w:r>
        <w:r w:rsidR="00301E36" w:rsidRPr="00301E36">
          <w:rPr>
            <w:rFonts w:asciiTheme="minorHAnsi" w:eastAsiaTheme="minorEastAsia" w:hAnsiTheme="minorHAnsi" w:cstheme="minorBidi"/>
            <w:smallCaps w:val="0"/>
            <w:noProof/>
            <w:sz w:val="22"/>
            <w:szCs w:val="22"/>
          </w:rPr>
          <w:tab/>
        </w:r>
        <w:r w:rsidR="00301E36" w:rsidRPr="00301E36">
          <w:rPr>
            <w:rStyle w:val="Hyperlink"/>
            <w:noProof/>
          </w:rPr>
          <w:t>Information from Trend Reports</w:t>
        </w:r>
        <w:r w:rsidR="00301E36" w:rsidRPr="00301E36">
          <w:rPr>
            <w:noProof/>
            <w:webHidden/>
          </w:rPr>
          <w:tab/>
        </w:r>
        <w:r w:rsidR="00301E36" w:rsidRPr="00301E36">
          <w:rPr>
            <w:noProof/>
            <w:webHidden/>
          </w:rPr>
          <w:fldChar w:fldCharType="begin"/>
        </w:r>
        <w:r w:rsidR="00301E36" w:rsidRPr="00301E36">
          <w:rPr>
            <w:noProof/>
            <w:webHidden/>
          </w:rPr>
          <w:instrText xml:space="preserve"> PAGEREF _Toc148367184 \h </w:instrText>
        </w:r>
        <w:r w:rsidR="00301E36" w:rsidRPr="00301E36">
          <w:rPr>
            <w:noProof/>
            <w:webHidden/>
          </w:rPr>
        </w:r>
        <w:r w:rsidR="00301E36" w:rsidRPr="00301E36">
          <w:rPr>
            <w:noProof/>
            <w:webHidden/>
          </w:rPr>
          <w:fldChar w:fldCharType="separate"/>
        </w:r>
        <w:r w:rsidR="00301E36" w:rsidRPr="00301E36">
          <w:rPr>
            <w:noProof/>
            <w:webHidden/>
          </w:rPr>
          <w:t>7</w:t>
        </w:r>
        <w:r w:rsidR="00301E36" w:rsidRPr="00301E36">
          <w:rPr>
            <w:noProof/>
            <w:webHidden/>
          </w:rPr>
          <w:fldChar w:fldCharType="end"/>
        </w:r>
      </w:hyperlink>
    </w:p>
    <w:p w14:paraId="730C75D0" w14:textId="777F3668" w:rsidR="00301E36" w:rsidRPr="00301E36" w:rsidRDefault="00D53A8E">
      <w:pPr>
        <w:pStyle w:val="TOC2"/>
        <w:tabs>
          <w:tab w:val="left" w:pos="880"/>
          <w:tab w:val="right" w:leader="dot" w:pos="9062"/>
        </w:tabs>
        <w:rPr>
          <w:rFonts w:asciiTheme="minorHAnsi" w:eastAsiaTheme="minorEastAsia" w:hAnsiTheme="minorHAnsi" w:cstheme="minorBidi"/>
          <w:smallCaps w:val="0"/>
          <w:noProof/>
          <w:sz w:val="22"/>
          <w:szCs w:val="22"/>
        </w:rPr>
      </w:pPr>
      <w:hyperlink w:anchor="_Toc148367185" w:history="1">
        <w:r w:rsidR="00301E36" w:rsidRPr="00301E36">
          <w:rPr>
            <w:rStyle w:val="Hyperlink"/>
            <w:noProof/>
          </w:rPr>
          <w:t>6.3.</w:t>
        </w:r>
        <w:r w:rsidR="00301E36" w:rsidRPr="00301E36">
          <w:rPr>
            <w:rFonts w:asciiTheme="minorHAnsi" w:eastAsiaTheme="minorEastAsia" w:hAnsiTheme="minorHAnsi" w:cstheme="minorBidi"/>
            <w:smallCaps w:val="0"/>
            <w:noProof/>
            <w:sz w:val="22"/>
            <w:szCs w:val="22"/>
          </w:rPr>
          <w:tab/>
        </w:r>
        <w:r w:rsidR="00301E36" w:rsidRPr="00301E36">
          <w:rPr>
            <w:rStyle w:val="Hyperlink"/>
            <w:noProof/>
          </w:rPr>
          <w:t>Information from Field Safety Corrective Actions (FSCAs)</w:t>
        </w:r>
        <w:r w:rsidR="00301E36" w:rsidRPr="00301E36">
          <w:rPr>
            <w:noProof/>
            <w:webHidden/>
          </w:rPr>
          <w:tab/>
        </w:r>
        <w:r w:rsidR="00301E36" w:rsidRPr="00301E36">
          <w:rPr>
            <w:noProof/>
            <w:webHidden/>
          </w:rPr>
          <w:fldChar w:fldCharType="begin"/>
        </w:r>
        <w:r w:rsidR="00301E36" w:rsidRPr="00301E36">
          <w:rPr>
            <w:noProof/>
            <w:webHidden/>
          </w:rPr>
          <w:instrText xml:space="preserve"> PAGEREF _Toc148367185 \h </w:instrText>
        </w:r>
        <w:r w:rsidR="00301E36" w:rsidRPr="00301E36">
          <w:rPr>
            <w:noProof/>
            <w:webHidden/>
          </w:rPr>
        </w:r>
        <w:r w:rsidR="00301E36" w:rsidRPr="00301E36">
          <w:rPr>
            <w:noProof/>
            <w:webHidden/>
          </w:rPr>
          <w:fldChar w:fldCharType="separate"/>
        </w:r>
        <w:r w:rsidR="00301E36" w:rsidRPr="00301E36">
          <w:rPr>
            <w:noProof/>
            <w:webHidden/>
          </w:rPr>
          <w:t>7</w:t>
        </w:r>
        <w:r w:rsidR="00301E36" w:rsidRPr="00301E36">
          <w:rPr>
            <w:noProof/>
            <w:webHidden/>
          </w:rPr>
          <w:fldChar w:fldCharType="end"/>
        </w:r>
      </w:hyperlink>
    </w:p>
    <w:p w14:paraId="4010A6D9" w14:textId="4E49E98A" w:rsidR="00301E36" w:rsidRPr="00301E36" w:rsidRDefault="00D53A8E">
      <w:pPr>
        <w:pStyle w:val="TOC3"/>
        <w:tabs>
          <w:tab w:val="left" w:pos="1320"/>
          <w:tab w:val="right" w:leader="dot" w:pos="9062"/>
        </w:tabs>
        <w:rPr>
          <w:rFonts w:asciiTheme="minorHAnsi" w:eastAsiaTheme="minorEastAsia" w:hAnsiTheme="minorHAnsi" w:cstheme="minorBidi"/>
          <w:i w:val="0"/>
          <w:iCs w:val="0"/>
          <w:noProof/>
          <w:sz w:val="22"/>
          <w:szCs w:val="22"/>
        </w:rPr>
      </w:pPr>
      <w:hyperlink w:anchor="_Toc148367186" w:history="1">
        <w:r w:rsidR="00301E36" w:rsidRPr="00301E36">
          <w:rPr>
            <w:rStyle w:val="Hyperlink"/>
            <w:noProof/>
          </w:rPr>
          <w:t>6.3.1.</w:t>
        </w:r>
        <w:r w:rsidR="00301E36" w:rsidRPr="00301E36">
          <w:rPr>
            <w:rFonts w:asciiTheme="minorHAnsi" w:eastAsiaTheme="minorEastAsia" w:hAnsiTheme="minorHAnsi" w:cstheme="minorBidi"/>
            <w:i w:val="0"/>
            <w:iCs w:val="0"/>
            <w:noProof/>
            <w:sz w:val="22"/>
            <w:szCs w:val="22"/>
          </w:rPr>
          <w:tab/>
        </w:r>
        <w:r w:rsidR="00301E36" w:rsidRPr="00301E36">
          <w:rPr>
            <w:rStyle w:val="Hyperlink"/>
            <w:noProof/>
          </w:rPr>
          <w:t>FSCA initiated in current reporting period and open FSCAs</w:t>
        </w:r>
        <w:r w:rsidR="00301E36" w:rsidRPr="00301E36">
          <w:rPr>
            <w:noProof/>
            <w:webHidden/>
          </w:rPr>
          <w:tab/>
        </w:r>
        <w:r w:rsidR="00301E36" w:rsidRPr="00301E36">
          <w:rPr>
            <w:noProof/>
            <w:webHidden/>
          </w:rPr>
          <w:fldChar w:fldCharType="begin"/>
        </w:r>
        <w:r w:rsidR="00301E36" w:rsidRPr="00301E36">
          <w:rPr>
            <w:noProof/>
            <w:webHidden/>
          </w:rPr>
          <w:instrText xml:space="preserve"> PAGEREF _Toc148367186 \h </w:instrText>
        </w:r>
        <w:r w:rsidR="00301E36" w:rsidRPr="00301E36">
          <w:rPr>
            <w:noProof/>
            <w:webHidden/>
          </w:rPr>
        </w:r>
        <w:r w:rsidR="00301E36" w:rsidRPr="00301E36">
          <w:rPr>
            <w:noProof/>
            <w:webHidden/>
          </w:rPr>
          <w:fldChar w:fldCharType="separate"/>
        </w:r>
        <w:r w:rsidR="00301E36" w:rsidRPr="00301E36">
          <w:rPr>
            <w:noProof/>
            <w:webHidden/>
          </w:rPr>
          <w:t>7</w:t>
        </w:r>
        <w:r w:rsidR="00301E36" w:rsidRPr="00301E36">
          <w:rPr>
            <w:noProof/>
            <w:webHidden/>
          </w:rPr>
          <w:fldChar w:fldCharType="end"/>
        </w:r>
      </w:hyperlink>
    </w:p>
    <w:p w14:paraId="59DD9717" w14:textId="187E0421" w:rsidR="00301E36" w:rsidRPr="00301E36" w:rsidRDefault="00D53A8E">
      <w:pPr>
        <w:pStyle w:val="TOC3"/>
        <w:tabs>
          <w:tab w:val="left" w:pos="1320"/>
          <w:tab w:val="right" w:leader="dot" w:pos="9062"/>
        </w:tabs>
        <w:rPr>
          <w:rFonts w:asciiTheme="minorHAnsi" w:eastAsiaTheme="minorEastAsia" w:hAnsiTheme="minorHAnsi" w:cstheme="minorBidi"/>
          <w:i w:val="0"/>
          <w:iCs w:val="0"/>
          <w:noProof/>
          <w:sz w:val="22"/>
          <w:szCs w:val="22"/>
        </w:rPr>
      </w:pPr>
      <w:hyperlink w:anchor="_Toc148367187" w:history="1">
        <w:r w:rsidR="00301E36" w:rsidRPr="00301E36">
          <w:rPr>
            <w:rStyle w:val="Hyperlink"/>
            <w:noProof/>
          </w:rPr>
          <w:t>6.3.2.</w:t>
        </w:r>
        <w:r w:rsidR="00301E36" w:rsidRPr="00301E36">
          <w:rPr>
            <w:rFonts w:asciiTheme="minorHAnsi" w:eastAsiaTheme="minorEastAsia" w:hAnsiTheme="minorHAnsi" w:cstheme="minorBidi"/>
            <w:i w:val="0"/>
            <w:iCs w:val="0"/>
            <w:noProof/>
            <w:sz w:val="22"/>
            <w:szCs w:val="22"/>
          </w:rPr>
          <w:tab/>
        </w:r>
        <w:r w:rsidR="00301E36" w:rsidRPr="00301E36">
          <w:rPr>
            <w:rStyle w:val="Hyperlink"/>
            <w:noProof/>
          </w:rPr>
          <w:t>Comparison with previous PSURs</w:t>
        </w:r>
        <w:r w:rsidR="00301E36" w:rsidRPr="00301E36">
          <w:rPr>
            <w:noProof/>
            <w:webHidden/>
          </w:rPr>
          <w:tab/>
        </w:r>
        <w:r w:rsidR="00301E36" w:rsidRPr="00301E36">
          <w:rPr>
            <w:noProof/>
            <w:webHidden/>
          </w:rPr>
          <w:fldChar w:fldCharType="begin"/>
        </w:r>
        <w:r w:rsidR="00301E36" w:rsidRPr="00301E36">
          <w:rPr>
            <w:noProof/>
            <w:webHidden/>
          </w:rPr>
          <w:instrText xml:space="preserve"> PAGEREF _Toc148367187 \h </w:instrText>
        </w:r>
        <w:r w:rsidR="00301E36" w:rsidRPr="00301E36">
          <w:rPr>
            <w:noProof/>
            <w:webHidden/>
          </w:rPr>
        </w:r>
        <w:r w:rsidR="00301E36" w:rsidRPr="00301E36">
          <w:rPr>
            <w:noProof/>
            <w:webHidden/>
          </w:rPr>
          <w:fldChar w:fldCharType="separate"/>
        </w:r>
        <w:r w:rsidR="00301E36" w:rsidRPr="00301E36">
          <w:rPr>
            <w:noProof/>
            <w:webHidden/>
          </w:rPr>
          <w:t>7</w:t>
        </w:r>
        <w:r w:rsidR="00301E36" w:rsidRPr="00301E36">
          <w:rPr>
            <w:noProof/>
            <w:webHidden/>
          </w:rPr>
          <w:fldChar w:fldCharType="end"/>
        </w:r>
      </w:hyperlink>
    </w:p>
    <w:p w14:paraId="24FA3967" w14:textId="598CF6D9" w:rsidR="00301E36" w:rsidRPr="00301E36" w:rsidRDefault="00D53A8E">
      <w:pPr>
        <w:pStyle w:val="TOC2"/>
        <w:tabs>
          <w:tab w:val="left" w:pos="880"/>
          <w:tab w:val="right" w:leader="dot" w:pos="9062"/>
        </w:tabs>
        <w:rPr>
          <w:rFonts w:asciiTheme="minorHAnsi" w:eastAsiaTheme="minorEastAsia" w:hAnsiTheme="minorHAnsi" w:cstheme="minorBidi"/>
          <w:smallCaps w:val="0"/>
          <w:noProof/>
          <w:sz w:val="22"/>
          <w:szCs w:val="22"/>
        </w:rPr>
      </w:pPr>
      <w:hyperlink w:anchor="_Toc148367188" w:history="1">
        <w:r w:rsidR="00301E36" w:rsidRPr="00301E36">
          <w:rPr>
            <w:rStyle w:val="Hyperlink"/>
            <w:noProof/>
          </w:rPr>
          <w:t>6.4.</w:t>
        </w:r>
        <w:r w:rsidR="00301E36" w:rsidRPr="00301E36">
          <w:rPr>
            <w:rFonts w:asciiTheme="minorHAnsi" w:eastAsiaTheme="minorEastAsia" w:hAnsiTheme="minorHAnsi" w:cstheme="minorBidi"/>
            <w:smallCaps w:val="0"/>
            <w:noProof/>
            <w:sz w:val="22"/>
            <w:szCs w:val="22"/>
          </w:rPr>
          <w:tab/>
        </w:r>
        <w:r w:rsidR="00301E36" w:rsidRPr="00301E36">
          <w:rPr>
            <w:rStyle w:val="Hyperlink"/>
            <w:noProof/>
          </w:rPr>
          <w:t>Preventive and / or Corrective Actions (CAPAs)</w:t>
        </w:r>
        <w:r w:rsidR="00301E36" w:rsidRPr="00301E36">
          <w:rPr>
            <w:noProof/>
            <w:webHidden/>
          </w:rPr>
          <w:tab/>
        </w:r>
        <w:r w:rsidR="00301E36" w:rsidRPr="00301E36">
          <w:rPr>
            <w:noProof/>
            <w:webHidden/>
          </w:rPr>
          <w:fldChar w:fldCharType="begin"/>
        </w:r>
        <w:r w:rsidR="00301E36" w:rsidRPr="00301E36">
          <w:rPr>
            <w:noProof/>
            <w:webHidden/>
          </w:rPr>
          <w:instrText xml:space="preserve"> PAGEREF _Toc148367188 \h </w:instrText>
        </w:r>
        <w:r w:rsidR="00301E36" w:rsidRPr="00301E36">
          <w:rPr>
            <w:noProof/>
            <w:webHidden/>
          </w:rPr>
        </w:r>
        <w:r w:rsidR="00301E36" w:rsidRPr="00301E36">
          <w:rPr>
            <w:noProof/>
            <w:webHidden/>
          </w:rPr>
          <w:fldChar w:fldCharType="separate"/>
        </w:r>
        <w:r w:rsidR="00301E36" w:rsidRPr="00301E36">
          <w:rPr>
            <w:noProof/>
            <w:webHidden/>
          </w:rPr>
          <w:t>7</w:t>
        </w:r>
        <w:r w:rsidR="00301E36" w:rsidRPr="00301E36">
          <w:rPr>
            <w:noProof/>
            <w:webHidden/>
          </w:rPr>
          <w:fldChar w:fldCharType="end"/>
        </w:r>
      </w:hyperlink>
    </w:p>
    <w:p w14:paraId="2E78FB69" w14:textId="1380E09F" w:rsidR="00301E36" w:rsidRPr="00301E36" w:rsidRDefault="00D53A8E">
      <w:pPr>
        <w:pStyle w:val="TOC3"/>
        <w:tabs>
          <w:tab w:val="left" w:pos="1320"/>
          <w:tab w:val="right" w:leader="dot" w:pos="9062"/>
        </w:tabs>
        <w:rPr>
          <w:rFonts w:asciiTheme="minorHAnsi" w:eastAsiaTheme="minorEastAsia" w:hAnsiTheme="minorHAnsi" w:cstheme="minorBidi"/>
          <w:i w:val="0"/>
          <w:iCs w:val="0"/>
          <w:noProof/>
          <w:sz w:val="22"/>
          <w:szCs w:val="22"/>
        </w:rPr>
      </w:pPr>
      <w:hyperlink w:anchor="_Toc148367189" w:history="1">
        <w:r w:rsidR="00301E36" w:rsidRPr="00301E36">
          <w:rPr>
            <w:rStyle w:val="Hyperlink"/>
            <w:noProof/>
          </w:rPr>
          <w:t>6.4.1.</w:t>
        </w:r>
        <w:r w:rsidR="00301E36" w:rsidRPr="00301E36">
          <w:rPr>
            <w:rFonts w:asciiTheme="minorHAnsi" w:eastAsiaTheme="minorEastAsia" w:hAnsiTheme="minorHAnsi" w:cstheme="minorBidi"/>
            <w:i w:val="0"/>
            <w:iCs w:val="0"/>
            <w:noProof/>
            <w:sz w:val="22"/>
            <w:szCs w:val="22"/>
          </w:rPr>
          <w:tab/>
        </w:r>
        <w:r w:rsidR="00301E36" w:rsidRPr="00301E36">
          <w:rPr>
            <w:rStyle w:val="Hyperlink"/>
            <w:noProof/>
          </w:rPr>
          <w:t>CAPA initiated in the current reporting period and open CAPAs</w:t>
        </w:r>
        <w:r w:rsidR="00301E36" w:rsidRPr="00301E36">
          <w:rPr>
            <w:noProof/>
            <w:webHidden/>
          </w:rPr>
          <w:tab/>
        </w:r>
        <w:r w:rsidR="00301E36" w:rsidRPr="00301E36">
          <w:rPr>
            <w:noProof/>
            <w:webHidden/>
          </w:rPr>
          <w:fldChar w:fldCharType="begin"/>
        </w:r>
        <w:r w:rsidR="00301E36" w:rsidRPr="00301E36">
          <w:rPr>
            <w:noProof/>
            <w:webHidden/>
          </w:rPr>
          <w:instrText xml:space="preserve"> PAGEREF _Toc148367189 \h </w:instrText>
        </w:r>
        <w:r w:rsidR="00301E36" w:rsidRPr="00301E36">
          <w:rPr>
            <w:noProof/>
            <w:webHidden/>
          </w:rPr>
        </w:r>
        <w:r w:rsidR="00301E36" w:rsidRPr="00301E36">
          <w:rPr>
            <w:noProof/>
            <w:webHidden/>
          </w:rPr>
          <w:fldChar w:fldCharType="separate"/>
        </w:r>
        <w:r w:rsidR="00301E36" w:rsidRPr="00301E36">
          <w:rPr>
            <w:noProof/>
            <w:webHidden/>
          </w:rPr>
          <w:t>7</w:t>
        </w:r>
        <w:r w:rsidR="00301E36" w:rsidRPr="00301E36">
          <w:rPr>
            <w:noProof/>
            <w:webHidden/>
          </w:rPr>
          <w:fldChar w:fldCharType="end"/>
        </w:r>
      </w:hyperlink>
    </w:p>
    <w:p w14:paraId="7251C08F" w14:textId="3C47E05F" w:rsidR="00301E36" w:rsidRPr="00301E36" w:rsidRDefault="00D53A8E">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48367190" w:history="1">
        <w:r w:rsidR="00301E36" w:rsidRPr="00301E36">
          <w:rPr>
            <w:rStyle w:val="Hyperlink"/>
            <w:noProof/>
          </w:rPr>
          <w:t>7.</w:t>
        </w:r>
        <w:r w:rsidR="00301E36" w:rsidRPr="00301E36">
          <w:rPr>
            <w:rFonts w:asciiTheme="minorHAnsi" w:eastAsiaTheme="minorEastAsia" w:hAnsiTheme="minorHAnsi" w:cstheme="minorBidi"/>
            <w:b w:val="0"/>
            <w:bCs w:val="0"/>
            <w:caps w:val="0"/>
            <w:noProof/>
            <w:sz w:val="22"/>
            <w:szCs w:val="22"/>
          </w:rPr>
          <w:tab/>
        </w:r>
        <w:r w:rsidR="00301E36" w:rsidRPr="00301E36">
          <w:rPr>
            <w:rStyle w:val="Hyperlink"/>
            <w:noProof/>
          </w:rPr>
          <w:t>Post-Market Surveillance</w:t>
        </w:r>
        <w:r w:rsidR="00301E36" w:rsidRPr="00301E36">
          <w:rPr>
            <w:noProof/>
            <w:webHidden/>
          </w:rPr>
          <w:tab/>
        </w:r>
        <w:r w:rsidR="00301E36" w:rsidRPr="00301E36">
          <w:rPr>
            <w:noProof/>
            <w:webHidden/>
          </w:rPr>
          <w:fldChar w:fldCharType="begin"/>
        </w:r>
        <w:r w:rsidR="00301E36" w:rsidRPr="00301E36">
          <w:rPr>
            <w:noProof/>
            <w:webHidden/>
          </w:rPr>
          <w:instrText xml:space="preserve"> PAGEREF _Toc148367190 \h </w:instrText>
        </w:r>
        <w:r w:rsidR="00301E36" w:rsidRPr="00301E36">
          <w:rPr>
            <w:noProof/>
            <w:webHidden/>
          </w:rPr>
        </w:r>
        <w:r w:rsidR="00301E36" w:rsidRPr="00301E36">
          <w:rPr>
            <w:noProof/>
            <w:webHidden/>
          </w:rPr>
          <w:fldChar w:fldCharType="separate"/>
        </w:r>
        <w:r w:rsidR="00301E36" w:rsidRPr="00301E36">
          <w:rPr>
            <w:noProof/>
            <w:webHidden/>
          </w:rPr>
          <w:t>8</w:t>
        </w:r>
        <w:r w:rsidR="00301E36" w:rsidRPr="00301E36">
          <w:rPr>
            <w:noProof/>
            <w:webHidden/>
          </w:rPr>
          <w:fldChar w:fldCharType="end"/>
        </w:r>
      </w:hyperlink>
    </w:p>
    <w:p w14:paraId="455530D9" w14:textId="7A7B9521" w:rsidR="00301E36" w:rsidRPr="00301E36" w:rsidRDefault="00D53A8E">
      <w:pPr>
        <w:pStyle w:val="TOC2"/>
        <w:tabs>
          <w:tab w:val="left" w:pos="880"/>
          <w:tab w:val="right" w:leader="dot" w:pos="9062"/>
        </w:tabs>
        <w:rPr>
          <w:rFonts w:asciiTheme="minorHAnsi" w:eastAsiaTheme="minorEastAsia" w:hAnsiTheme="minorHAnsi" w:cstheme="minorBidi"/>
          <w:smallCaps w:val="0"/>
          <w:noProof/>
          <w:sz w:val="22"/>
          <w:szCs w:val="22"/>
        </w:rPr>
      </w:pPr>
      <w:hyperlink w:anchor="_Toc148367191" w:history="1">
        <w:r w:rsidR="00301E36" w:rsidRPr="00301E36">
          <w:rPr>
            <w:rStyle w:val="Hyperlink"/>
            <w:noProof/>
          </w:rPr>
          <w:t>7.1.</w:t>
        </w:r>
        <w:r w:rsidR="00301E36" w:rsidRPr="00301E36">
          <w:rPr>
            <w:rFonts w:asciiTheme="minorHAnsi" w:eastAsiaTheme="minorEastAsia" w:hAnsiTheme="minorHAnsi" w:cstheme="minorBidi"/>
            <w:smallCaps w:val="0"/>
            <w:noProof/>
            <w:sz w:val="22"/>
            <w:szCs w:val="22"/>
          </w:rPr>
          <w:tab/>
        </w:r>
        <w:r w:rsidR="00301E36" w:rsidRPr="00301E36">
          <w:rPr>
            <w:rStyle w:val="Hyperlink"/>
            <w:noProof/>
          </w:rPr>
          <w:t>General Post-Market Clinical Follow-up (PMCF) information</w:t>
        </w:r>
        <w:r w:rsidR="00301E36" w:rsidRPr="00301E36">
          <w:rPr>
            <w:noProof/>
            <w:webHidden/>
          </w:rPr>
          <w:tab/>
        </w:r>
        <w:r w:rsidR="00301E36" w:rsidRPr="00301E36">
          <w:rPr>
            <w:noProof/>
            <w:webHidden/>
          </w:rPr>
          <w:fldChar w:fldCharType="begin"/>
        </w:r>
        <w:r w:rsidR="00301E36" w:rsidRPr="00301E36">
          <w:rPr>
            <w:noProof/>
            <w:webHidden/>
          </w:rPr>
          <w:instrText xml:space="preserve"> PAGEREF _Toc148367191 \h </w:instrText>
        </w:r>
        <w:r w:rsidR="00301E36" w:rsidRPr="00301E36">
          <w:rPr>
            <w:noProof/>
            <w:webHidden/>
          </w:rPr>
        </w:r>
        <w:r w:rsidR="00301E36" w:rsidRPr="00301E36">
          <w:rPr>
            <w:noProof/>
            <w:webHidden/>
          </w:rPr>
          <w:fldChar w:fldCharType="separate"/>
        </w:r>
        <w:r w:rsidR="00301E36" w:rsidRPr="00301E36">
          <w:rPr>
            <w:noProof/>
            <w:webHidden/>
          </w:rPr>
          <w:t>8</w:t>
        </w:r>
        <w:r w:rsidR="00301E36" w:rsidRPr="00301E36">
          <w:rPr>
            <w:noProof/>
            <w:webHidden/>
          </w:rPr>
          <w:fldChar w:fldCharType="end"/>
        </w:r>
      </w:hyperlink>
    </w:p>
    <w:p w14:paraId="703FDB42" w14:textId="46039F65" w:rsidR="00301E36" w:rsidRPr="00301E36" w:rsidRDefault="00D53A8E">
      <w:pPr>
        <w:pStyle w:val="TOC3"/>
        <w:tabs>
          <w:tab w:val="left" w:pos="1320"/>
          <w:tab w:val="right" w:leader="dot" w:pos="9062"/>
        </w:tabs>
        <w:rPr>
          <w:rFonts w:asciiTheme="minorHAnsi" w:eastAsiaTheme="minorEastAsia" w:hAnsiTheme="minorHAnsi" w:cstheme="minorBidi"/>
          <w:i w:val="0"/>
          <w:iCs w:val="0"/>
          <w:noProof/>
          <w:sz w:val="22"/>
          <w:szCs w:val="22"/>
        </w:rPr>
      </w:pPr>
      <w:hyperlink w:anchor="_Toc148367192" w:history="1">
        <w:r w:rsidR="00301E36" w:rsidRPr="00301E36">
          <w:rPr>
            <w:rStyle w:val="Hyperlink"/>
            <w:noProof/>
          </w:rPr>
          <w:t>7.1.1.</w:t>
        </w:r>
        <w:r w:rsidR="00301E36" w:rsidRPr="00301E36">
          <w:rPr>
            <w:rFonts w:asciiTheme="minorHAnsi" w:eastAsiaTheme="minorEastAsia" w:hAnsiTheme="minorHAnsi" w:cstheme="minorBidi"/>
            <w:i w:val="0"/>
            <w:iCs w:val="0"/>
            <w:noProof/>
            <w:sz w:val="22"/>
            <w:szCs w:val="22"/>
          </w:rPr>
          <w:tab/>
        </w:r>
        <w:r w:rsidR="00301E36" w:rsidRPr="00301E36">
          <w:rPr>
            <w:rStyle w:val="Hyperlink"/>
            <w:noProof/>
          </w:rPr>
          <w:t>Feedbacks and complaints from users, distributors and importers</w:t>
        </w:r>
        <w:r w:rsidR="00301E36" w:rsidRPr="00301E36">
          <w:rPr>
            <w:noProof/>
            <w:webHidden/>
          </w:rPr>
          <w:tab/>
        </w:r>
        <w:r w:rsidR="00301E36" w:rsidRPr="00301E36">
          <w:rPr>
            <w:noProof/>
            <w:webHidden/>
          </w:rPr>
          <w:fldChar w:fldCharType="begin"/>
        </w:r>
        <w:r w:rsidR="00301E36" w:rsidRPr="00301E36">
          <w:rPr>
            <w:noProof/>
            <w:webHidden/>
          </w:rPr>
          <w:instrText xml:space="preserve"> PAGEREF _Toc148367192 \h </w:instrText>
        </w:r>
        <w:r w:rsidR="00301E36" w:rsidRPr="00301E36">
          <w:rPr>
            <w:noProof/>
            <w:webHidden/>
          </w:rPr>
        </w:r>
        <w:r w:rsidR="00301E36" w:rsidRPr="00301E36">
          <w:rPr>
            <w:noProof/>
            <w:webHidden/>
          </w:rPr>
          <w:fldChar w:fldCharType="separate"/>
        </w:r>
        <w:r w:rsidR="00301E36" w:rsidRPr="00301E36">
          <w:rPr>
            <w:noProof/>
            <w:webHidden/>
          </w:rPr>
          <w:t>8</w:t>
        </w:r>
        <w:r w:rsidR="00301E36" w:rsidRPr="00301E36">
          <w:rPr>
            <w:noProof/>
            <w:webHidden/>
          </w:rPr>
          <w:fldChar w:fldCharType="end"/>
        </w:r>
      </w:hyperlink>
    </w:p>
    <w:p w14:paraId="5CCB586E" w14:textId="4A490AC0" w:rsidR="00301E36" w:rsidRPr="00301E36" w:rsidRDefault="00D53A8E">
      <w:pPr>
        <w:pStyle w:val="TOC3"/>
        <w:tabs>
          <w:tab w:val="left" w:pos="1320"/>
          <w:tab w:val="right" w:leader="dot" w:pos="9062"/>
        </w:tabs>
        <w:rPr>
          <w:rFonts w:asciiTheme="minorHAnsi" w:eastAsiaTheme="minorEastAsia" w:hAnsiTheme="minorHAnsi" w:cstheme="minorBidi"/>
          <w:i w:val="0"/>
          <w:iCs w:val="0"/>
          <w:noProof/>
          <w:sz w:val="22"/>
          <w:szCs w:val="22"/>
        </w:rPr>
      </w:pPr>
      <w:hyperlink w:anchor="_Toc148367193" w:history="1">
        <w:r w:rsidR="00301E36" w:rsidRPr="00301E36">
          <w:rPr>
            <w:rStyle w:val="Hyperlink"/>
            <w:noProof/>
          </w:rPr>
          <w:t>7.1.2.</w:t>
        </w:r>
        <w:r w:rsidR="00301E36" w:rsidRPr="00301E36">
          <w:rPr>
            <w:rFonts w:asciiTheme="minorHAnsi" w:eastAsiaTheme="minorEastAsia" w:hAnsiTheme="minorHAnsi" w:cstheme="minorBidi"/>
            <w:i w:val="0"/>
            <w:iCs w:val="0"/>
            <w:noProof/>
            <w:sz w:val="22"/>
            <w:szCs w:val="22"/>
          </w:rPr>
          <w:tab/>
        </w:r>
        <w:r w:rsidR="00301E36" w:rsidRPr="00301E36">
          <w:rPr>
            <w:rStyle w:val="Hyperlink"/>
            <w:noProof/>
          </w:rPr>
          <w:t>Scientific literature review of relevant specialist or technical literature</w:t>
        </w:r>
        <w:r w:rsidR="00301E36" w:rsidRPr="00301E36">
          <w:rPr>
            <w:noProof/>
            <w:webHidden/>
          </w:rPr>
          <w:tab/>
        </w:r>
        <w:r w:rsidR="00301E36" w:rsidRPr="00301E36">
          <w:rPr>
            <w:noProof/>
            <w:webHidden/>
          </w:rPr>
          <w:fldChar w:fldCharType="begin"/>
        </w:r>
        <w:r w:rsidR="00301E36" w:rsidRPr="00301E36">
          <w:rPr>
            <w:noProof/>
            <w:webHidden/>
          </w:rPr>
          <w:instrText xml:space="preserve"> PAGEREF _Toc148367193 \h </w:instrText>
        </w:r>
        <w:r w:rsidR="00301E36" w:rsidRPr="00301E36">
          <w:rPr>
            <w:noProof/>
            <w:webHidden/>
          </w:rPr>
        </w:r>
        <w:r w:rsidR="00301E36" w:rsidRPr="00301E36">
          <w:rPr>
            <w:noProof/>
            <w:webHidden/>
          </w:rPr>
          <w:fldChar w:fldCharType="separate"/>
        </w:r>
        <w:r w:rsidR="00301E36" w:rsidRPr="00301E36">
          <w:rPr>
            <w:noProof/>
            <w:webHidden/>
          </w:rPr>
          <w:t>8</w:t>
        </w:r>
        <w:r w:rsidR="00301E36" w:rsidRPr="00301E36">
          <w:rPr>
            <w:noProof/>
            <w:webHidden/>
          </w:rPr>
          <w:fldChar w:fldCharType="end"/>
        </w:r>
      </w:hyperlink>
    </w:p>
    <w:p w14:paraId="000C4BB5" w14:textId="410C9765" w:rsidR="00301E36" w:rsidRPr="00301E36" w:rsidRDefault="00D53A8E">
      <w:pPr>
        <w:pStyle w:val="TOC3"/>
        <w:tabs>
          <w:tab w:val="left" w:pos="1320"/>
          <w:tab w:val="right" w:leader="dot" w:pos="9062"/>
        </w:tabs>
        <w:rPr>
          <w:rFonts w:asciiTheme="minorHAnsi" w:eastAsiaTheme="minorEastAsia" w:hAnsiTheme="minorHAnsi" w:cstheme="minorBidi"/>
          <w:i w:val="0"/>
          <w:iCs w:val="0"/>
          <w:noProof/>
          <w:sz w:val="22"/>
          <w:szCs w:val="22"/>
        </w:rPr>
      </w:pPr>
      <w:hyperlink w:anchor="_Toc148367194" w:history="1">
        <w:r w:rsidR="00301E36" w:rsidRPr="00301E36">
          <w:rPr>
            <w:rStyle w:val="Hyperlink"/>
            <w:noProof/>
          </w:rPr>
          <w:t>7.1.3.</w:t>
        </w:r>
        <w:r w:rsidR="00301E36" w:rsidRPr="00301E36">
          <w:rPr>
            <w:rFonts w:asciiTheme="minorHAnsi" w:eastAsiaTheme="minorEastAsia" w:hAnsiTheme="minorHAnsi" w:cstheme="minorBidi"/>
            <w:i w:val="0"/>
            <w:iCs w:val="0"/>
            <w:noProof/>
            <w:sz w:val="22"/>
            <w:szCs w:val="22"/>
          </w:rPr>
          <w:tab/>
        </w:r>
        <w:r w:rsidR="00301E36" w:rsidRPr="00301E36">
          <w:rPr>
            <w:rStyle w:val="Hyperlink"/>
            <w:noProof/>
          </w:rPr>
          <w:t>Public databases and / or registry data</w:t>
        </w:r>
        <w:r w:rsidR="00301E36" w:rsidRPr="00301E36">
          <w:rPr>
            <w:noProof/>
            <w:webHidden/>
          </w:rPr>
          <w:tab/>
        </w:r>
        <w:r w:rsidR="00301E36" w:rsidRPr="00301E36">
          <w:rPr>
            <w:noProof/>
            <w:webHidden/>
          </w:rPr>
          <w:fldChar w:fldCharType="begin"/>
        </w:r>
        <w:r w:rsidR="00301E36" w:rsidRPr="00301E36">
          <w:rPr>
            <w:noProof/>
            <w:webHidden/>
          </w:rPr>
          <w:instrText xml:space="preserve"> PAGEREF _Toc148367194 \h </w:instrText>
        </w:r>
        <w:r w:rsidR="00301E36" w:rsidRPr="00301E36">
          <w:rPr>
            <w:noProof/>
            <w:webHidden/>
          </w:rPr>
        </w:r>
        <w:r w:rsidR="00301E36" w:rsidRPr="00301E36">
          <w:rPr>
            <w:noProof/>
            <w:webHidden/>
          </w:rPr>
          <w:fldChar w:fldCharType="separate"/>
        </w:r>
        <w:r w:rsidR="00301E36" w:rsidRPr="00301E36">
          <w:rPr>
            <w:noProof/>
            <w:webHidden/>
          </w:rPr>
          <w:t>8</w:t>
        </w:r>
        <w:r w:rsidR="00301E36" w:rsidRPr="00301E36">
          <w:rPr>
            <w:noProof/>
            <w:webHidden/>
          </w:rPr>
          <w:fldChar w:fldCharType="end"/>
        </w:r>
      </w:hyperlink>
    </w:p>
    <w:p w14:paraId="72C106C3" w14:textId="5139C066" w:rsidR="00301E36" w:rsidRPr="00301E36" w:rsidRDefault="00D53A8E">
      <w:pPr>
        <w:pStyle w:val="TOC3"/>
        <w:tabs>
          <w:tab w:val="left" w:pos="1320"/>
          <w:tab w:val="right" w:leader="dot" w:pos="9062"/>
        </w:tabs>
        <w:rPr>
          <w:rFonts w:asciiTheme="minorHAnsi" w:eastAsiaTheme="minorEastAsia" w:hAnsiTheme="minorHAnsi" w:cstheme="minorBidi"/>
          <w:i w:val="0"/>
          <w:iCs w:val="0"/>
          <w:noProof/>
          <w:sz w:val="22"/>
          <w:szCs w:val="22"/>
        </w:rPr>
      </w:pPr>
      <w:hyperlink w:anchor="_Toc148367195" w:history="1">
        <w:r w:rsidR="00301E36" w:rsidRPr="00301E36">
          <w:rPr>
            <w:rStyle w:val="Hyperlink"/>
            <w:noProof/>
          </w:rPr>
          <w:t>7.1.4.</w:t>
        </w:r>
        <w:r w:rsidR="00301E36" w:rsidRPr="00301E36">
          <w:rPr>
            <w:rFonts w:asciiTheme="minorHAnsi" w:eastAsiaTheme="minorEastAsia" w:hAnsiTheme="minorHAnsi" w:cstheme="minorBidi"/>
            <w:i w:val="0"/>
            <w:iCs w:val="0"/>
            <w:noProof/>
            <w:sz w:val="22"/>
            <w:szCs w:val="22"/>
          </w:rPr>
          <w:tab/>
        </w:r>
        <w:r w:rsidR="00301E36" w:rsidRPr="00301E36">
          <w:rPr>
            <w:rStyle w:val="Hyperlink"/>
            <w:noProof/>
          </w:rPr>
          <w:t>Publicly available information about similar medical devices</w:t>
        </w:r>
        <w:r w:rsidR="00301E36" w:rsidRPr="00301E36">
          <w:rPr>
            <w:noProof/>
            <w:webHidden/>
          </w:rPr>
          <w:tab/>
        </w:r>
        <w:r w:rsidR="00301E36" w:rsidRPr="00301E36">
          <w:rPr>
            <w:noProof/>
            <w:webHidden/>
          </w:rPr>
          <w:fldChar w:fldCharType="begin"/>
        </w:r>
        <w:r w:rsidR="00301E36" w:rsidRPr="00301E36">
          <w:rPr>
            <w:noProof/>
            <w:webHidden/>
          </w:rPr>
          <w:instrText xml:space="preserve"> PAGEREF _Toc148367195 \h </w:instrText>
        </w:r>
        <w:r w:rsidR="00301E36" w:rsidRPr="00301E36">
          <w:rPr>
            <w:noProof/>
            <w:webHidden/>
          </w:rPr>
        </w:r>
        <w:r w:rsidR="00301E36" w:rsidRPr="00301E36">
          <w:rPr>
            <w:noProof/>
            <w:webHidden/>
          </w:rPr>
          <w:fldChar w:fldCharType="separate"/>
        </w:r>
        <w:r w:rsidR="00301E36" w:rsidRPr="00301E36">
          <w:rPr>
            <w:noProof/>
            <w:webHidden/>
          </w:rPr>
          <w:t>9</w:t>
        </w:r>
        <w:r w:rsidR="00301E36" w:rsidRPr="00301E36">
          <w:rPr>
            <w:noProof/>
            <w:webHidden/>
          </w:rPr>
          <w:fldChar w:fldCharType="end"/>
        </w:r>
      </w:hyperlink>
    </w:p>
    <w:p w14:paraId="722D66E4" w14:textId="1F9451AD" w:rsidR="00301E36" w:rsidRPr="00301E36" w:rsidRDefault="00D53A8E">
      <w:pPr>
        <w:pStyle w:val="TOC3"/>
        <w:tabs>
          <w:tab w:val="left" w:pos="1320"/>
          <w:tab w:val="right" w:leader="dot" w:pos="9062"/>
        </w:tabs>
        <w:rPr>
          <w:rFonts w:asciiTheme="minorHAnsi" w:eastAsiaTheme="minorEastAsia" w:hAnsiTheme="minorHAnsi" w:cstheme="minorBidi"/>
          <w:i w:val="0"/>
          <w:iCs w:val="0"/>
          <w:noProof/>
          <w:sz w:val="22"/>
          <w:szCs w:val="22"/>
        </w:rPr>
      </w:pPr>
      <w:hyperlink w:anchor="_Toc148367196" w:history="1">
        <w:r w:rsidR="00301E36" w:rsidRPr="00301E36">
          <w:rPr>
            <w:rStyle w:val="Hyperlink"/>
            <w:noProof/>
          </w:rPr>
          <w:t>7.1.5.</w:t>
        </w:r>
        <w:r w:rsidR="00301E36" w:rsidRPr="00301E36">
          <w:rPr>
            <w:rFonts w:asciiTheme="minorHAnsi" w:eastAsiaTheme="minorEastAsia" w:hAnsiTheme="minorHAnsi" w:cstheme="minorBidi"/>
            <w:i w:val="0"/>
            <w:iCs w:val="0"/>
            <w:noProof/>
            <w:sz w:val="22"/>
            <w:szCs w:val="22"/>
          </w:rPr>
          <w:tab/>
        </w:r>
        <w:r w:rsidR="00301E36" w:rsidRPr="00301E36">
          <w:rPr>
            <w:rStyle w:val="Hyperlink"/>
            <w:noProof/>
          </w:rPr>
          <w:t>Other data sources</w:t>
        </w:r>
        <w:r w:rsidR="00301E36" w:rsidRPr="00301E36">
          <w:rPr>
            <w:noProof/>
            <w:webHidden/>
          </w:rPr>
          <w:tab/>
        </w:r>
        <w:r w:rsidR="00301E36" w:rsidRPr="00301E36">
          <w:rPr>
            <w:noProof/>
            <w:webHidden/>
          </w:rPr>
          <w:fldChar w:fldCharType="begin"/>
        </w:r>
        <w:r w:rsidR="00301E36" w:rsidRPr="00301E36">
          <w:rPr>
            <w:noProof/>
            <w:webHidden/>
          </w:rPr>
          <w:instrText xml:space="preserve"> PAGEREF _Toc148367196 \h </w:instrText>
        </w:r>
        <w:r w:rsidR="00301E36" w:rsidRPr="00301E36">
          <w:rPr>
            <w:noProof/>
            <w:webHidden/>
          </w:rPr>
        </w:r>
        <w:r w:rsidR="00301E36" w:rsidRPr="00301E36">
          <w:rPr>
            <w:noProof/>
            <w:webHidden/>
          </w:rPr>
          <w:fldChar w:fldCharType="separate"/>
        </w:r>
        <w:r w:rsidR="00301E36" w:rsidRPr="00301E36">
          <w:rPr>
            <w:noProof/>
            <w:webHidden/>
          </w:rPr>
          <w:t>9</w:t>
        </w:r>
        <w:r w:rsidR="00301E36" w:rsidRPr="00301E36">
          <w:rPr>
            <w:noProof/>
            <w:webHidden/>
          </w:rPr>
          <w:fldChar w:fldCharType="end"/>
        </w:r>
      </w:hyperlink>
    </w:p>
    <w:p w14:paraId="52D130A3" w14:textId="077D3FBC" w:rsidR="00301E36" w:rsidRPr="00301E36" w:rsidRDefault="00D53A8E">
      <w:pPr>
        <w:pStyle w:val="TOC2"/>
        <w:tabs>
          <w:tab w:val="left" w:pos="880"/>
          <w:tab w:val="right" w:leader="dot" w:pos="9062"/>
        </w:tabs>
        <w:rPr>
          <w:rFonts w:asciiTheme="minorHAnsi" w:eastAsiaTheme="minorEastAsia" w:hAnsiTheme="minorHAnsi" w:cstheme="minorBidi"/>
          <w:smallCaps w:val="0"/>
          <w:noProof/>
          <w:sz w:val="22"/>
          <w:szCs w:val="22"/>
        </w:rPr>
      </w:pPr>
      <w:hyperlink w:anchor="_Toc148367197" w:history="1">
        <w:r w:rsidR="00301E36" w:rsidRPr="00301E36">
          <w:rPr>
            <w:rStyle w:val="Hyperlink"/>
            <w:noProof/>
          </w:rPr>
          <w:t>7.2.</w:t>
        </w:r>
        <w:r w:rsidR="00301E36" w:rsidRPr="00301E36">
          <w:rPr>
            <w:rFonts w:asciiTheme="minorHAnsi" w:eastAsiaTheme="minorEastAsia" w:hAnsiTheme="minorHAnsi" w:cstheme="minorBidi"/>
            <w:smallCaps w:val="0"/>
            <w:noProof/>
            <w:sz w:val="22"/>
            <w:szCs w:val="22"/>
          </w:rPr>
          <w:tab/>
        </w:r>
        <w:r w:rsidR="00301E36" w:rsidRPr="00301E36">
          <w:rPr>
            <w:rStyle w:val="Hyperlink"/>
            <w:noProof/>
          </w:rPr>
          <w:t>Specific Post-Market Clinical Follow-up (PMCF) information</w:t>
        </w:r>
        <w:r w:rsidR="00301E36" w:rsidRPr="00301E36">
          <w:rPr>
            <w:noProof/>
            <w:webHidden/>
          </w:rPr>
          <w:tab/>
        </w:r>
        <w:r w:rsidR="00301E36" w:rsidRPr="00301E36">
          <w:rPr>
            <w:noProof/>
            <w:webHidden/>
          </w:rPr>
          <w:fldChar w:fldCharType="begin"/>
        </w:r>
        <w:r w:rsidR="00301E36" w:rsidRPr="00301E36">
          <w:rPr>
            <w:noProof/>
            <w:webHidden/>
          </w:rPr>
          <w:instrText xml:space="preserve"> PAGEREF _Toc148367197 \h </w:instrText>
        </w:r>
        <w:r w:rsidR="00301E36" w:rsidRPr="00301E36">
          <w:rPr>
            <w:noProof/>
            <w:webHidden/>
          </w:rPr>
        </w:r>
        <w:r w:rsidR="00301E36" w:rsidRPr="00301E36">
          <w:rPr>
            <w:noProof/>
            <w:webHidden/>
          </w:rPr>
          <w:fldChar w:fldCharType="separate"/>
        </w:r>
        <w:r w:rsidR="00301E36" w:rsidRPr="00301E36">
          <w:rPr>
            <w:noProof/>
            <w:webHidden/>
          </w:rPr>
          <w:t>9</w:t>
        </w:r>
        <w:r w:rsidR="00301E36" w:rsidRPr="00301E36">
          <w:rPr>
            <w:noProof/>
            <w:webHidden/>
          </w:rPr>
          <w:fldChar w:fldCharType="end"/>
        </w:r>
      </w:hyperlink>
    </w:p>
    <w:p w14:paraId="3E43C823" w14:textId="6B9631EE" w:rsidR="00301E36" w:rsidRPr="00301E36" w:rsidRDefault="00D53A8E">
      <w:pPr>
        <w:pStyle w:val="TOC2"/>
        <w:tabs>
          <w:tab w:val="left" w:pos="880"/>
          <w:tab w:val="right" w:leader="dot" w:pos="9062"/>
        </w:tabs>
        <w:rPr>
          <w:rFonts w:asciiTheme="minorHAnsi" w:eastAsiaTheme="minorEastAsia" w:hAnsiTheme="minorHAnsi" w:cstheme="minorBidi"/>
          <w:smallCaps w:val="0"/>
          <w:noProof/>
          <w:sz w:val="22"/>
          <w:szCs w:val="22"/>
        </w:rPr>
      </w:pPr>
      <w:hyperlink w:anchor="_Toc148367198" w:history="1">
        <w:r w:rsidR="00301E36" w:rsidRPr="00301E36">
          <w:rPr>
            <w:rStyle w:val="Hyperlink"/>
            <w:noProof/>
          </w:rPr>
          <w:t>7.3.</w:t>
        </w:r>
        <w:r w:rsidR="00301E36" w:rsidRPr="00301E36">
          <w:rPr>
            <w:rFonts w:asciiTheme="minorHAnsi" w:eastAsiaTheme="minorEastAsia" w:hAnsiTheme="minorHAnsi" w:cstheme="minorBidi"/>
            <w:smallCaps w:val="0"/>
            <w:noProof/>
            <w:sz w:val="22"/>
            <w:szCs w:val="22"/>
          </w:rPr>
          <w:tab/>
        </w:r>
        <w:r w:rsidR="00301E36" w:rsidRPr="00301E36">
          <w:rPr>
            <w:rStyle w:val="Hyperlink"/>
            <w:noProof/>
          </w:rPr>
          <w:t>Summary of findings and conclusions of the PSUR</w:t>
        </w:r>
        <w:r w:rsidR="00301E36" w:rsidRPr="00301E36">
          <w:rPr>
            <w:noProof/>
            <w:webHidden/>
          </w:rPr>
          <w:tab/>
        </w:r>
        <w:r w:rsidR="00301E36" w:rsidRPr="00301E36">
          <w:rPr>
            <w:noProof/>
            <w:webHidden/>
          </w:rPr>
          <w:fldChar w:fldCharType="begin"/>
        </w:r>
        <w:r w:rsidR="00301E36" w:rsidRPr="00301E36">
          <w:rPr>
            <w:noProof/>
            <w:webHidden/>
          </w:rPr>
          <w:instrText xml:space="preserve"> PAGEREF _Toc148367198 \h </w:instrText>
        </w:r>
        <w:r w:rsidR="00301E36" w:rsidRPr="00301E36">
          <w:rPr>
            <w:noProof/>
            <w:webHidden/>
          </w:rPr>
        </w:r>
        <w:r w:rsidR="00301E36" w:rsidRPr="00301E36">
          <w:rPr>
            <w:noProof/>
            <w:webHidden/>
          </w:rPr>
          <w:fldChar w:fldCharType="separate"/>
        </w:r>
        <w:r w:rsidR="00301E36" w:rsidRPr="00301E36">
          <w:rPr>
            <w:noProof/>
            <w:webHidden/>
          </w:rPr>
          <w:t>9</w:t>
        </w:r>
        <w:r w:rsidR="00301E36" w:rsidRPr="00301E36">
          <w:rPr>
            <w:noProof/>
            <w:webHidden/>
          </w:rPr>
          <w:fldChar w:fldCharType="end"/>
        </w:r>
      </w:hyperlink>
    </w:p>
    <w:p w14:paraId="0C7DFE73" w14:textId="5813F45B" w:rsidR="00F961E0" w:rsidRPr="00301E36" w:rsidRDefault="00034FCC" w:rsidP="00F961E0">
      <w:r w:rsidRPr="00301E36">
        <w:rPr>
          <w:b/>
          <w:bCs/>
          <w:caps/>
          <w:sz w:val="20"/>
          <w:szCs w:val="20"/>
        </w:rPr>
        <w:fldChar w:fldCharType="end"/>
      </w:r>
    </w:p>
    <w:p w14:paraId="58974403" w14:textId="6794D2B1" w:rsidR="00F961E0" w:rsidRPr="00301E36" w:rsidRDefault="00F37DA3" w:rsidP="001B2A2E">
      <w:pPr>
        <w:pStyle w:val="Heading1"/>
      </w:pPr>
      <w:r w:rsidRPr="00301E36">
        <w:br w:type="page"/>
      </w:r>
      <w:bookmarkStart w:id="2" w:name="_Toc148367169"/>
      <w:r w:rsidR="001B2A2E" w:rsidRPr="00301E36">
        <w:t>Executive summary</w:t>
      </w:r>
      <w:bookmarkEnd w:id="2"/>
    </w:p>
    <w:tbl>
      <w:tblPr>
        <w:tblStyle w:val="TableGrid"/>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1B2A2E" w:rsidRPr="00301E36" w14:paraId="434CF443" w14:textId="77777777" w:rsidTr="00301E36">
        <w:tc>
          <w:tcPr>
            <w:tcW w:w="9067" w:type="dxa"/>
            <w:shd w:val="clear" w:color="auto" w:fill="BFBFBF" w:themeFill="background1" w:themeFillShade="BF"/>
            <w:tcMar>
              <w:top w:w="72" w:type="dxa"/>
              <w:left w:w="115" w:type="dxa"/>
              <w:bottom w:w="72" w:type="dxa"/>
              <w:right w:w="115" w:type="dxa"/>
            </w:tcMar>
            <w:vAlign w:val="center"/>
          </w:tcPr>
          <w:p w14:paraId="068BFBF1" w14:textId="5C69B3A8" w:rsidR="001B2A2E" w:rsidRPr="00301E36" w:rsidRDefault="001B2A2E" w:rsidP="001B2A2E">
            <w:pPr>
              <w:pStyle w:val="NoSpacing"/>
            </w:pPr>
            <w:r w:rsidRPr="00301E36">
              <w:t xml:space="preserve">A brief description and status of actions taken by the </w:t>
            </w:r>
            <w:commentRangeStart w:id="3"/>
            <w:r w:rsidR="00301A95" w:rsidRPr="00301E36">
              <w:t>[</w:t>
            </w:r>
            <w:r w:rsidRPr="00301E36">
              <w:t>manufacturer</w:t>
            </w:r>
            <w:r w:rsidR="00301A95" w:rsidRPr="00301E36">
              <w:t>]</w:t>
            </w:r>
            <w:commentRangeEnd w:id="3"/>
            <w:r w:rsidR="00301A95" w:rsidRPr="00301E36">
              <w:rPr>
                <w:rStyle w:val="CommentReference"/>
                <w:rFonts w:eastAsia="Calibri"/>
              </w:rPr>
              <w:commentReference w:id="3"/>
            </w:r>
            <w:r w:rsidRPr="00301E36">
              <w:t xml:space="preserve"> based on the previous PSUR</w:t>
            </w:r>
          </w:p>
        </w:tc>
      </w:tr>
      <w:tr w:rsidR="001B2A2E" w:rsidRPr="00301E36" w14:paraId="22AB83E8" w14:textId="77777777" w:rsidTr="00301E36">
        <w:tc>
          <w:tcPr>
            <w:tcW w:w="9067" w:type="dxa"/>
            <w:shd w:val="clear" w:color="auto" w:fill="auto"/>
            <w:tcMar>
              <w:top w:w="72" w:type="dxa"/>
              <w:left w:w="115" w:type="dxa"/>
              <w:bottom w:w="72" w:type="dxa"/>
              <w:right w:w="115" w:type="dxa"/>
            </w:tcMar>
            <w:vAlign w:val="center"/>
          </w:tcPr>
          <w:p w14:paraId="0D58CC8A" w14:textId="77777777" w:rsidR="001B2A2E" w:rsidRPr="00301E36" w:rsidRDefault="001B2A2E" w:rsidP="001B2A2E">
            <w:pPr>
              <w:pStyle w:val="NoSpacing"/>
            </w:pPr>
          </w:p>
        </w:tc>
      </w:tr>
      <w:tr w:rsidR="001B2A2E" w:rsidRPr="00301E36" w14:paraId="1CB5172D" w14:textId="77777777" w:rsidTr="00301E36">
        <w:tc>
          <w:tcPr>
            <w:tcW w:w="9067" w:type="dxa"/>
            <w:shd w:val="clear" w:color="auto" w:fill="BFBFBF" w:themeFill="background1" w:themeFillShade="BF"/>
            <w:tcMar>
              <w:top w:w="72" w:type="dxa"/>
              <w:left w:w="115" w:type="dxa"/>
              <w:bottom w:w="72" w:type="dxa"/>
              <w:right w:w="115" w:type="dxa"/>
            </w:tcMar>
            <w:vAlign w:val="center"/>
          </w:tcPr>
          <w:p w14:paraId="28F0107B" w14:textId="6077178A" w:rsidR="001B2A2E" w:rsidRPr="00301E36" w:rsidRDefault="00CC624B" w:rsidP="001B2A2E">
            <w:pPr>
              <w:pStyle w:val="NoSpacing"/>
            </w:pPr>
            <w:r>
              <w:t>…</w:t>
            </w:r>
          </w:p>
        </w:tc>
      </w:tr>
      <w:tr w:rsidR="001B2A2E" w:rsidRPr="00301E36" w14:paraId="23F3C292" w14:textId="77777777" w:rsidTr="00301E36">
        <w:tc>
          <w:tcPr>
            <w:tcW w:w="9067" w:type="dxa"/>
            <w:shd w:val="clear" w:color="auto" w:fill="auto"/>
            <w:tcMar>
              <w:top w:w="72" w:type="dxa"/>
              <w:left w:w="115" w:type="dxa"/>
              <w:bottom w:w="72" w:type="dxa"/>
              <w:right w:w="115" w:type="dxa"/>
            </w:tcMar>
            <w:vAlign w:val="center"/>
          </w:tcPr>
          <w:p w14:paraId="3C264A0E" w14:textId="77777777" w:rsidR="001B2A2E" w:rsidRPr="00301E36" w:rsidRDefault="001B2A2E" w:rsidP="001B2A2E">
            <w:pPr>
              <w:pStyle w:val="NoSpacing"/>
            </w:pPr>
          </w:p>
        </w:tc>
      </w:tr>
      <w:tr w:rsidR="001E2E99" w:rsidRPr="00301E36" w14:paraId="1D96AB35" w14:textId="77777777" w:rsidTr="00301E36">
        <w:tc>
          <w:tcPr>
            <w:tcW w:w="9067" w:type="dxa"/>
            <w:shd w:val="clear" w:color="auto" w:fill="BFBFBF" w:themeFill="background1" w:themeFillShade="BF"/>
            <w:tcMar>
              <w:top w:w="72" w:type="dxa"/>
              <w:left w:w="115" w:type="dxa"/>
              <w:bottom w:w="72" w:type="dxa"/>
              <w:right w:w="115" w:type="dxa"/>
            </w:tcMar>
            <w:vAlign w:val="center"/>
          </w:tcPr>
          <w:p w14:paraId="44E4EE4C" w14:textId="32F6E03A" w:rsidR="001E2E99" w:rsidRPr="00301E36" w:rsidRDefault="00276451" w:rsidP="0091786C">
            <w:pPr>
              <w:pStyle w:val="NoSpacing"/>
            </w:pPr>
            <w:commentRangeStart w:id="4"/>
            <w:r w:rsidRPr="00301E36">
              <w:t>Change in data collection period</w:t>
            </w:r>
            <w:commentRangeEnd w:id="4"/>
            <w:r w:rsidRPr="00301E36">
              <w:rPr>
                <w:rStyle w:val="CommentReference"/>
                <w:rFonts w:eastAsia="Calibri"/>
              </w:rPr>
              <w:commentReference w:id="4"/>
            </w:r>
          </w:p>
        </w:tc>
      </w:tr>
      <w:tr w:rsidR="001E2E99" w:rsidRPr="00301E36" w14:paraId="132ED932" w14:textId="77777777" w:rsidTr="00301E36">
        <w:tc>
          <w:tcPr>
            <w:tcW w:w="9067" w:type="dxa"/>
            <w:shd w:val="clear" w:color="auto" w:fill="FFFFFF" w:themeFill="background1"/>
            <w:tcMar>
              <w:top w:w="72" w:type="dxa"/>
              <w:left w:w="115" w:type="dxa"/>
              <w:bottom w:w="72" w:type="dxa"/>
              <w:right w:w="115" w:type="dxa"/>
            </w:tcMar>
            <w:vAlign w:val="center"/>
          </w:tcPr>
          <w:p w14:paraId="3832E2AD" w14:textId="77777777" w:rsidR="001E2E99" w:rsidRPr="00301E36" w:rsidRDefault="001E2E99" w:rsidP="0091786C">
            <w:pPr>
              <w:pStyle w:val="NoSpacing"/>
            </w:pPr>
          </w:p>
        </w:tc>
      </w:tr>
      <w:tr w:rsidR="001B2A2E" w:rsidRPr="00301E36" w14:paraId="08E95CBF" w14:textId="77777777" w:rsidTr="00301E36">
        <w:tc>
          <w:tcPr>
            <w:tcW w:w="9067" w:type="dxa"/>
            <w:shd w:val="clear" w:color="auto" w:fill="BFBFBF" w:themeFill="background1" w:themeFillShade="BF"/>
            <w:tcMar>
              <w:top w:w="72" w:type="dxa"/>
              <w:left w:w="115" w:type="dxa"/>
              <w:bottom w:w="72" w:type="dxa"/>
              <w:right w:w="115" w:type="dxa"/>
            </w:tcMar>
            <w:vAlign w:val="center"/>
          </w:tcPr>
          <w:p w14:paraId="597C1974" w14:textId="77777777" w:rsidR="001B2A2E" w:rsidRPr="00301E36" w:rsidRDefault="001B2A2E" w:rsidP="001B2A2E">
            <w:pPr>
              <w:pStyle w:val="NoSpacing"/>
            </w:pPr>
            <w:commentRangeStart w:id="5"/>
            <w:r w:rsidRPr="00301E36">
              <w:t>Main results of the current PSUR</w:t>
            </w:r>
            <w:commentRangeEnd w:id="5"/>
            <w:r w:rsidRPr="00301E36">
              <w:rPr>
                <w:rStyle w:val="CommentReference"/>
                <w:rFonts w:asciiTheme="minorHAnsi" w:hAnsiTheme="minorHAnsi" w:cstheme="minorHAnsi"/>
                <w:sz w:val="22"/>
                <w:szCs w:val="22"/>
              </w:rPr>
              <w:commentReference w:id="5"/>
            </w:r>
          </w:p>
        </w:tc>
      </w:tr>
      <w:tr w:rsidR="001B2A2E" w:rsidRPr="00301E36" w14:paraId="094261C9" w14:textId="77777777" w:rsidTr="00301E36">
        <w:tc>
          <w:tcPr>
            <w:tcW w:w="9067" w:type="dxa"/>
            <w:shd w:val="clear" w:color="auto" w:fill="FFFFFF" w:themeFill="background1"/>
            <w:tcMar>
              <w:top w:w="72" w:type="dxa"/>
              <w:left w:w="115" w:type="dxa"/>
              <w:bottom w:w="72" w:type="dxa"/>
              <w:right w:w="115" w:type="dxa"/>
            </w:tcMar>
            <w:vAlign w:val="center"/>
          </w:tcPr>
          <w:p w14:paraId="7B97CA8C" w14:textId="77777777" w:rsidR="001B2A2E" w:rsidRPr="00301E36" w:rsidRDefault="001B2A2E" w:rsidP="001B2A2E">
            <w:pPr>
              <w:pStyle w:val="NoSpacing"/>
            </w:pPr>
          </w:p>
        </w:tc>
      </w:tr>
    </w:tbl>
    <w:p w14:paraId="56537AC0" w14:textId="6FBA5DEF" w:rsidR="00DB37F7" w:rsidRPr="00301E36" w:rsidRDefault="00DB37F7" w:rsidP="00DB37F7"/>
    <w:p w14:paraId="5BB297C7" w14:textId="77777777" w:rsidR="00321802" w:rsidRPr="00301E36" w:rsidRDefault="00321802" w:rsidP="00321802">
      <w:pPr>
        <w:pStyle w:val="NoSpacing"/>
      </w:pPr>
    </w:p>
    <w:p w14:paraId="5B98EA05" w14:textId="210CC4E7" w:rsidR="00DB35CB" w:rsidRPr="00301E36" w:rsidRDefault="00276451" w:rsidP="00276451">
      <w:pPr>
        <w:pStyle w:val="Heading1"/>
      </w:pPr>
      <w:bookmarkStart w:id="6" w:name="_Toc148367170"/>
      <w:r w:rsidRPr="00301E36">
        <w:t>Description of devices covered by the PSUR</w:t>
      </w:r>
      <w:bookmarkEnd w:id="6"/>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5"/>
        <w:gridCol w:w="5737"/>
      </w:tblGrid>
      <w:tr w:rsidR="00276451" w:rsidRPr="00301E36" w14:paraId="159B1563" w14:textId="77777777" w:rsidTr="00301E36">
        <w:tc>
          <w:tcPr>
            <w:tcW w:w="3325" w:type="dxa"/>
            <w:shd w:val="clear" w:color="auto" w:fill="BFBFBF" w:themeFill="background1" w:themeFillShade="BF"/>
            <w:tcMar>
              <w:top w:w="72" w:type="dxa"/>
              <w:left w:w="115" w:type="dxa"/>
              <w:bottom w:w="72" w:type="dxa"/>
              <w:right w:w="115" w:type="dxa"/>
            </w:tcMar>
            <w:vAlign w:val="center"/>
          </w:tcPr>
          <w:p w14:paraId="6EA82FE4" w14:textId="348C7814" w:rsidR="00276451" w:rsidRPr="00301E36" w:rsidRDefault="00381AAC" w:rsidP="0091786C">
            <w:pPr>
              <w:pStyle w:val="NoSpacing"/>
            </w:pPr>
            <w:r w:rsidRPr="00301E36">
              <w:t>Device classification</w:t>
            </w:r>
          </w:p>
        </w:tc>
        <w:tc>
          <w:tcPr>
            <w:tcW w:w="5737" w:type="dxa"/>
            <w:tcMar>
              <w:top w:w="72" w:type="dxa"/>
              <w:left w:w="115" w:type="dxa"/>
              <w:bottom w:w="72" w:type="dxa"/>
              <w:right w:w="115" w:type="dxa"/>
            </w:tcMar>
            <w:vAlign w:val="center"/>
          </w:tcPr>
          <w:p w14:paraId="4542253B" w14:textId="77777777" w:rsidR="00276451" w:rsidRPr="00301E36" w:rsidRDefault="00276451" w:rsidP="0091786C">
            <w:pPr>
              <w:pStyle w:val="NoSpacing"/>
            </w:pPr>
          </w:p>
        </w:tc>
      </w:tr>
      <w:tr w:rsidR="00276451" w:rsidRPr="00301E36" w14:paraId="4567B42B" w14:textId="77777777" w:rsidTr="00301E36">
        <w:tc>
          <w:tcPr>
            <w:tcW w:w="3325" w:type="dxa"/>
            <w:shd w:val="clear" w:color="auto" w:fill="BFBFBF" w:themeFill="background1" w:themeFillShade="BF"/>
            <w:tcMar>
              <w:top w:w="72" w:type="dxa"/>
              <w:left w:w="115" w:type="dxa"/>
              <w:bottom w:w="72" w:type="dxa"/>
              <w:right w:w="115" w:type="dxa"/>
            </w:tcMar>
            <w:vAlign w:val="center"/>
          </w:tcPr>
          <w:p w14:paraId="79903F58" w14:textId="0ED894F1" w:rsidR="00276451" w:rsidRPr="00301E36" w:rsidRDefault="00CC624B" w:rsidP="00381AAC">
            <w:pPr>
              <w:pStyle w:val="NoSpacing"/>
            </w:pPr>
            <w:r>
              <w:t>…</w:t>
            </w:r>
          </w:p>
        </w:tc>
        <w:tc>
          <w:tcPr>
            <w:tcW w:w="5737" w:type="dxa"/>
            <w:tcMar>
              <w:top w:w="72" w:type="dxa"/>
              <w:left w:w="115" w:type="dxa"/>
              <w:bottom w:w="72" w:type="dxa"/>
              <w:right w:w="115" w:type="dxa"/>
            </w:tcMar>
            <w:vAlign w:val="center"/>
          </w:tcPr>
          <w:p w14:paraId="2DDAFEA4" w14:textId="77777777" w:rsidR="00276451" w:rsidRPr="00301E36" w:rsidRDefault="00276451" w:rsidP="0091786C">
            <w:pPr>
              <w:pStyle w:val="NoSpacing"/>
            </w:pPr>
            <w:r w:rsidRPr="00301E36">
              <w:t xml:space="preserve"> </w:t>
            </w:r>
          </w:p>
        </w:tc>
      </w:tr>
      <w:tr w:rsidR="00276451" w:rsidRPr="00301E36" w14:paraId="3B8B76B8" w14:textId="77777777" w:rsidTr="00301E36">
        <w:tc>
          <w:tcPr>
            <w:tcW w:w="3325" w:type="dxa"/>
            <w:shd w:val="clear" w:color="auto" w:fill="BFBFBF" w:themeFill="background1" w:themeFillShade="BF"/>
            <w:tcMar>
              <w:top w:w="72" w:type="dxa"/>
              <w:left w:w="115" w:type="dxa"/>
              <w:bottom w:w="72" w:type="dxa"/>
              <w:right w:w="115" w:type="dxa"/>
            </w:tcMar>
            <w:vAlign w:val="center"/>
          </w:tcPr>
          <w:p w14:paraId="3677A040" w14:textId="0C2B9C5B" w:rsidR="00276451" w:rsidRPr="00301E36" w:rsidRDefault="00F43255" w:rsidP="0091786C">
            <w:pPr>
              <w:pStyle w:val="NoSpacing"/>
            </w:pPr>
            <w:commentRangeStart w:id="7"/>
            <w:r w:rsidRPr="00301E36">
              <w:t>Status of the device(s)</w:t>
            </w:r>
            <w:commentRangeEnd w:id="7"/>
            <w:r w:rsidRPr="00301E36">
              <w:rPr>
                <w:rStyle w:val="CommentReference"/>
                <w:rFonts w:eastAsia="Calibri"/>
              </w:rPr>
              <w:commentReference w:id="7"/>
            </w:r>
          </w:p>
        </w:tc>
        <w:tc>
          <w:tcPr>
            <w:tcW w:w="5737" w:type="dxa"/>
            <w:tcMar>
              <w:top w:w="72" w:type="dxa"/>
              <w:left w:w="115" w:type="dxa"/>
              <w:bottom w:w="72" w:type="dxa"/>
              <w:right w:w="115" w:type="dxa"/>
            </w:tcMar>
            <w:vAlign w:val="center"/>
          </w:tcPr>
          <w:p w14:paraId="264B8DCB" w14:textId="77777777" w:rsidR="00276451" w:rsidRPr="00301E36" w:rsidRDefault="00276451" w:rsidP="0091786C">
            <w:pPr>
              <w:pStyle w:val="NoSpacing"/>
            </w:pPr>
          </w:p>
        </w:tc>
      </w:tr>
      <w:tr w:rsidR="00276451" w:rsidRPr="00301E36" w14:paraId="7E20FF3C" w14:textId="77777777" w:rsidTr="00301E36">
        <w:tc>
          <w:tcPr>
            <w:tcW w:w="3325" w:type="dxa"/>
            <w:shd w:val="clear" w:color="auto" w:fill="BFBFBF" w:themeFill="background1" w:themeFillShade="BF"/>
            <w:tcMar>
              <w:top w:w="72" w:type="dxa"/>
              <w:left w:w="115" w:type="dxa"/>
              <w:bottom w:w="72" w:type="dxa"/>
              <w:right w:w="115" w:type="dxa"/>
            </w:tcMar>
            <w:vAlign w:val="center"/>
          </w:tcPr>
          <w:p w14:paraId="70563FBE" w14:textId="6E05901F" w:rsidR="00276451" w:rsidRPr="00301E36" w:rsidRDefault="00CC624B" w:rsidP="0091786C">
            <w:pPr>
              <w:pStyle w:val="NoSpacing"/>
            </w:pPr>
            <w:r>
              <w:t>…</w:t>
            </w:r>
          </w:p>
        </w:tc>
        <w:tc>
          <w:tcPr>
            <w:tcW w:w="5737" w:type="dxa"/>
            <w:tcMar>
              <w:top w:w="72" w:type="dxa"/>
              <w:left w:w="115" w:type="dxa"/>
              <w:bottom w:w="72" w:type="dxa"/>
              <w:right w:w="115" w:type="dxa"/>
            </w:tcMar>
            <w:vAlign w:val="center"/>
          </w:tcPr>
          <w:p w14:paraId="37D84021" w14:textId="77777777" w:rsidR="00276451" w:rsidRPr="00301E36" w:rsidRDefault="00276451" w:rsidP="0091786C">
            <w:pPr>
              <w:pStyle w:val="NoSpacing"/>
            </w:pPr>
          </w:p>
        </w:tc>
      </w:tr>
    </w:tbl>
    <w:p w14:paraId="7A5053B4" w14:textId="6FF8A110" w:rsidR="00DB37F7" w:rsidRPr="00301E36" w:rsidRDefault="00DB37F7" w:rsidP="00F27883"/>
    <w:p w14:paraId="21CD3D93" w14:textId="0EBAC4AD" w:rsidR="00CC624B" w:rsidRDefault="00CC624B" w:rsidP="00640999">
      <w:pPr>
        <w:pStyle w:val="NoSpacing"/>
      </w:pPr>
      <w:r>
        <w:t>…</w:t>
      </w:r>
    </w:p>
    <w:p w14:paraId="5EAD18DA" w14:textId="77777777" w:rsidR="00016630" w:rsidRDefault="00016630" w:rsidP="00016630">
      <w:pPr>
        <w:spacing w:after="0"/>
        <w:jc w:val="center"/>
      </w:pPr>
      <w:r w:rsidRPr="009506FE">
        <w:t>** END OF FREE PREVIEW **</w:t>
      </w:r>
    </w:p>
    <w:p w14:paraId="319F4833" w14:textId="77777777" w:rsidR="00016630" w:rsidRPr="009506FE" w:rsidRDefault="00016630" w:rsidP="00016630">
      <w:pPr>
        <w:spacing w:after="0"/>
        <w:jc w:val="center"/>
      </w:pPr>
    </w:p>
    <w:p w14:paraId="46A1A0AC" w14:textId="77777777" w:rsidR="00016630" w:rsidRDefault="00016630" w:rsidP="00016630">
      <w:r>
        <w:t>If you have decided that the EU MDR Documentation Toolkit is the right choice for your company, please see the table below to choose the toolkit with the required expert support level.</w:t>
      </w:r>
    </w:p>
    <w:p w14:paraId="419DBFA6" w14:textId="77777777" w:rsidR="00016630" w:rsidRDefault="00016630" w:rsidP="00016630">
      <w:pPr>
        <w:pStyle w:val="NoSpacing"/>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016630" w:rsidRPr="008C6D70" w14:paraId="35759BB0" w14:textId="77777777" w:rsidTr="00DB7BD0">
        <w:tc>
          <w:tcPr>
            <w:tcW w:w="3150" w:type="dxa"/>
            <w:vAlign w:val="center"/>
          </w:tcPr>
          <w:p w14:paraId="5BCE22FD" w14:textId="77777777" w:rsidR="00016630" w:rsidRPr="008C6D70" w:rsidRDefault="00016630" w:rsidP="00DB7BD0">
            <w:pPr>
              <w:pStyle w:val="NoSpacing"/>
              <w:jc w:val="center"/>
              <w:rPr>
                <w:sz w:val="26"/>
                <w:szCs w:val="26"/>
              </w:rPr>
            </w:pPr>
          </w:p>
        </w:tc>
        <w:tc>
          <w:tcPr>
            <w:tcW w:w="1933" w:type="dxa"/>
            <w:vAlign w:val="center"/>
          </w:tcPr>
          <w:p w14:paraId="0E211C07" w14:textId="77777777" w:rsidR="00016630" w:rsidRPr="008C6D70" w:rsidRDefault="00016630" w:rsidP="00DB7BD0">
            <w:pPr>
              <w:pStyle w:val="NoSpacing"/>
              <w:jc w:val="center"/>
              <w:rPr>
                <w:b/>
                <w:color w:val="686868"/>
                <w:sz w:val="26"/>
                <w:szCs w:val="26"/>
              </w:rPr>
            </w:pPr>
            <w:r w:rsidRPr="008C6D70">
              <w:rPr>
                <w:b/>
                <w:color w:val="686868"/>
                <w:sz w:val="26"/>
                <w:szCs w:val="26"/>
              </w:rPr>
              <w:t>Toolkit with expert support</w:t>
            </w:r>
          </w:p>
        </w:tc>
        <w:tc>
          <w:tcPr>
            <w:tcW w:w="1933" w:type="dxa"/>
            <w:vAlign w:val="center"/>
          </w:tcPr>
          <w:p w14:paraId="273D0366" w14:textId="77777777" w:rsidR="00016630" w:rsidRPr="008C6D70" w:rsidRDefault="00016630" w:rsidP="00DB7BD0">
            <w:pPr>
              <w:pStyle w:val="NoSpacing"/>
              <w:jc w:val="center"/>
              <w:rPr>
                <w:b/>
                <w:color w:val="686868"/>
                <w:sz w:val="26"/>
                <w:szCs w:val="26"/>
              </w:rPr>
            </w:pPr>
            <w:r w:rsidRPr="008C6D70">
              <w:rPr>
                <w:b/>
                <w:color w:val="686868"/>
                <w:sz w:val="26"/>
                <w:szCs w:val="26"/>
              </w:rPr>
              <w:t>Toolkit with extended support</w:t>
            </w:r>
          </w:p>
        </w:tc>
        <w:tc>
          <w:tcPr>
            <w:tcW w:w="1934" w:type="dxa"/>
            <w:vAlign w:val="center"/>
          </w:tcPr>
          <w:p w14:paraId="6AB82523" w14:textId="77777777" w:rsidR="00016630" w:rsidRPr="008C6D70" w:rsidRDefault="00016630" w:rsidP="00DB7BD0">
            <w:pPr>
              <w:pStyle w:val="NoSpacing"/>
              <w:jc w:val="center"/>
              <w:rPr>
                <w:b/>
                <w:color w:val="686868"/>
                <w:sz w:val="26"/>
                <w:szCs w:val="26"/>
              </w:rPr>
            </w:pPr>
            <w:r w:rsidRPr="008C6D70">
              <w:rPr>
                <w:b/>
                <w:color w:val="686868"/>
                <w:sz w:val="26"/>
                <w:szCs w:val="26"/>
              </w:rPr>
              <w:t>Power toolkit</w:t>
            </w:r>
          </w:p>
        </w:tc>
      </w:tr>
      <w:tr w:rsidR="00016630" w:rsidRPr="008C6D70" w14:paraId="17A63EB8" w14:textId="77777777" w:rsidTr="00DB7BD0">
        <w:tc>
          <w:tcPr>
            <w:tcW w:w="3150" w:type="dxa"/>
            <w:vAlign w:val="center"/>
          </w:tcPr>
          <w:p w14:paraId="7BE27EF5" w14:textId="77777777" w:rsidR="00016630" w:rsidRPr="008C6D70" w:rsidRDefault="00016630" w:rsidP="00DB7BD0">
            <w:pPr>
              <w:pStyle w:val="NoSpacing"/>
              <w:jc w:val="center"/>
              <w:rPr>
                <w:sz w:val="36"/>
                <w:szCs w:val="36"/>
              </w:rPr>
            </w:pPr>
          </w:p>
        </w:tc>
        <w:tc>
          <w:tcPr>
            <w:tcW w:w="1933" w:type="dxa"/>
            <w:vAlign w:val="center"/>
          </w:tcPr>
          <w:p w14:paraId="3B2D7CE8" w14:textId="77777777" w:rsidR="00016630" w:rsidRPr="008C6D70" w:rsidRDefault="00016630" w:rsidP="00DB7BD0">
            <w:pPr>
              <w:pStyle w:val="NoSpacing"/>
              <w:jc w:val="center"/>
              <w:rPr>
                <w:b/>
                <w:sz w:val="36"/>
                <w:szCs w:val="36"/>
              </w:rPr>
            </w:pPr>
            <w:r>
              <w:rPr>
                <w:b/>
                <w:sz w:val="36"/>
                <w:szCs w:val="36"/>
              </w:rPr>
              <w:t>5</w:t>
            </w:r>
            <w:r w:rsidRPr="008C6D70">
              <w:rPr>
                <w:b/>
                <w:sz w:val="36"/>
                <w:szCs w:val="36"/>
              </w:rPr>
              <w:t xml:space="preserve">97 </w:t>
            </w:r>
            <w:r w:rsidRPr="008C6D70">
              <w:rPr>
                <w:b/>
                <w:sz w:val="28"/>
                <w:szCs w:val="36"/>
              </w:rPr>
              <w:t>EUR</w:t>
            </w:r>
          </w:p>
        </w:tc>
        <w:tc>
          <w:tcPr>
            <w:tcW w:w="1933" w:type="dxa"/>
            <w:vAlign w:val="center"/>
          </w:tcPr>
          <w:p w14:paraId="5B1DAC84" w14:textId="77777777" w:rsidR="00016630" w:rsidRPr="008C6D70" w:rsidRDefault="00016630" w:rsidP="00DB7BD0">
            <w:pPr>
              <w:pStyle w:val="NoSpacing"/>
              <w:jc w:val="center"/>
              <w:rPr>
                <w:b/>
                <w:sz w:val="36"/>
                <w:szCs w:val="36"/>
              </w:rPr>
            </w:pPr>
            <w:r w:rsidRPr="008C6D70">
              <w:rPr>
                <w:b/>
                <w:sz w:val="36"/>
                <w:szCs w:val="36"/>
              </w:rPr>
              <w:t>1</w:t>
            </w:r>
            <w:r>
              <w:rPr>
                <w:b/>
                <w:sz w:val="36"/>
                <w:szCs w:val="36"/>
              </w:rPr>
              <w:t>0</w:t>
            </w:r>
            <w:r w:rsidRPr="008C6D70">
              <w:rPr>
                <w:b/>
                <w:sz w:val="36"/>
                <w:szCs w:val="36"/>
              </w:rPr>
              <w:t xml:space="preserve">97 </w:t>
            </w:r>
            <w:r w:rsidRPr="00CB1DCE">
              <w:rPr>
                <w:b/>
                <w:sz w:val="28"/>
                <w:szCs w:val="36"/>
              </w:rPr>
              <w:t>EUR</w:t>
            </w:r>
          </w:p>
        </w:tc>
        <w:tc>
          <w:tcPr>
            <w:tcW w:w="1934" w:type="dxa"/>
            <w:vAlign w:val="center"/>
          </w:tcPr>
          <w:p w14:paraId="1C7034CC" w14:textId="77777777" w:rsidR="00016630" w:rsidRPr="008C6D70" w:rsidRDefault="00016630" w:rsidP="00DB7BD0">
            <w:pPr>
              <w:pStyle w:val="NoSpacing"/>
              <w:jc w:val="center"/>
              <w:rPr>
                <w:b/>
                <w:sz w:val="36"/>
                <w:szCs w:val="36"/>
              </w:rPr>
            </w:pPr>
            <w:r w:rsidRPr="008C6D70">
              <w:rPr>
                <w:b/>
                <w:sz w:val="36"/>
                <w:szCs w:val="36"/>
              </w:rPr>
              <w:t>2</w:t>
            </w:r>
            <w:r>
              <w:rPr>
                <w:b/>
                <w:sz w:val="36"/>
                <w:szCs w:val="36"/>
              </w:rPr>
              <w:t>0</w:t>
            </w:r>
            <w:r w:rsidRPr="008C6D70">
              <w:rPr>
                <w:b/>
                <w:sz w:val="36"/>
                <w:szCs w:val="36"/>
              </w:rPr>
              <w:t xml:space="preserve">97 </w:t>
            </w:r>
            <w:r w:rsidRPr="00CB1DCE">
              <w:rPr>
                <w:b/>
                <w:sz w:val="28"/>
                <w:szCs w:val="36"/>
              </w:rPr>
              <w:t>EUR</w:t>
            </w:r>
          </w:p>
        </w:tc>
      </w:tr>
      <w:tr w:rsidR="00016630" w:rsidRPr="008E6D11" w14:paraId="6354677D" w14:textId="77777777" w:rsidTr="00DB7BD0">
        <w:tc>
          <w:tcPr>
            <w:tcW w:w="3150" w:type="dxa"/>
            <w:shd w:val="clear" w:color="auto" w:fill="F2F2F2"/>
            <w:vAlign w:val="center"/>
          </w:tcPr>
          <w:p w14:paraId="5FC0CCB1" w14:textId="77777777" w:rsidR="00016630" w:rsidRPr="008C6D70" w:rsidRDefault="00016630" w:rsidP="00DB7BD0">
            <w:pPr>
              <w:pStyle w:val="NoSpacing"/>
              <w:rPr>
                <w:b/>
              </w:rPr>
            </w:pPr>
            <w:r>
              <w:rPr>
                <w:b/>
              </w:rPr>
              <w:t>31</w:t>
            </w:r>
            <w:r w:rsidRPr="008C6D70">
              <w:rPr>
                <w:b/>
              </w:rPr>
              <w:t xml:space="preserve"> document templates compliant with</w:t>
            </w:r>
            <w:r>
              <w:rPr>
                <w:b/>
              </w:rPr>
              <w:t xml:space="preserve"> </w:t>
            </w:r>
            <w:r w:rsidRPr="008C6D70">
              <w:rPr>
                <w:b/>
              </w:rPr>
              <w:t>EU MDR 2017/745</w:t>
            </w:r>
          </w:p>
        </w:tc>
        <w:tc>
          <w:tcPr>
            <w:tcW w:w="1933" w:type="dxa"/>
            <w:shd w:val="clear" w:color="auto" w:fill="F2F2F2"/>
            <w:vAlign w:val="center"/>
          </w:tcPr>
          <w:p w14:paraId="027996D1" w14:textId="77777777" w:rsidR="00016630" w:rsidRPr="00353855" w:rsidRDefault="00016630" w:rsidP="00DB7BD0">
            <w:pPr>
              <w:pStyle w:val="NoSpacing"/>
              <w:jc w:val="center"/>
              <w:rPr>
                <w:b/>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c>
          <w:tcPr>
            <w:tcW w:w="1933" w:type="dxa"/>
            <w:shd w:val="clear" w:color="auto" w:fill="F2F2F2"/>
            <w:vAlign w:val="center"/>
          </w:tcPr>
          <w:p w14:paraId="0D9B94B7" w14:textId="77777777" w:rsidR="00016630" w:rsidRPr="00353855" w:rsidRDefault="00016630" w:rsidP="00DB7BD0">
            <w:pPr>
              <w:pStyle w:val="NoSpacing"/>
              <w:jc w:val="center"/>
              <w:rPr>
                <w:b/>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c>
          <w:tcPr>
            <w:tcW w:w="1934" w:type="dxa"/>
            <w:shd w:val="clear" w:color="auto" w:fill="F2F2F2"/>
            <w:vAlign w:val="center"/>
          </w:tcPr>
          <w:p w14:paraId="24A4DA38" w14:textId="77777777" w:rsidR="00016630" w:rsidRPr="00581FC9" w:rsidRDefault="00016630" w:rsidP="00DB7BD0">
            <w:pPr>
              <w:pStyle w:val="NoSpacing"/>
              <w:jc w:val="center"/>
              <w:rPr>
                <w:rFonts w:ascii="Nirmala UI" w:hAnsi="Nirmala UI" w:cs="Nirmala UI"/>
                <w:b/>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r>
      <w:tr w:rsidR="00016630" w14:paraId="3586035F" w14:textId="77777777" w:rsidTr="00DB7BD0">
        <w:tc>
          <w:tcPr>
            <w:tcW w:w="3150" w:type="dxa"/>
            <w:vAlign w:val="center"/>
          </w:tcPr>
          <w:p w14:paraId="38131BC0" w14:textId="77777777" w:rsidR="00016630" w:rsidRPr="008C6D70" w:rsidRDefault="00016630" w:rsidP="00DB7BD0">
            <w:pPr>
              <w:pStyle w:val="NoSpacing"/>
            </w:pPr>
            <w:r w:rsidRPr="008C6D70">
              <w:rPr>
                <w:rFonts w:cs="Calibri"/>
                <w:b/>
                <w:color w:val="000000"/>
                <w:lang w:eastAsia="pt-BR"/>
              </w:rPr>
              <w:t>Email support</w:t>
            </w:r>
          </w:p>
        </w:tc>
        <w:tc>
          <w:tcPr>
            <w:tcW w:w="1933" w:type="dxa"/>
            <w:vAlign w:val="center"/>
          </w:tcPr>
          <w:p w14:paraId="501C5975" w14:textId="77777777" w:rsidR="00016630" w:rsidRDefault="00016630" w:rsidP="00DB7BD0">
            <w:pPr>
              <w:pStyle w:val="NoSpacing"/>
              <w:jc w:val="center"/>
            </w:pPr>
            <w:r w:rsidRPr="009506FE">
              <w:rPr>
                <w:rFonts w:cs="Calibri"/>
                <w:color w:val="000000"/>
                <w:lang w:eastAsia="pt-BR"/>
              </w:rPr>
              <w:t>10 questions per month</w:t>
            </w:r>
          </w:p>
        </w:tc>
        <w:tc>
          <w:tcPr>
            <w:tcW w:w="1933" w:type="dxa"/>
            <w:vAlign w:val="center"/>
          </w:tcPr>
          <w:p w14:paraId="6AA0CCFF" w14:textId="77777777" w:rsidR="00016630" w:rsidRDefault="00016630" w:rsidP="00DB7BD0">
            <w:pPr>
              <w:pStyle w:val="NoSpacing"/>
              <w:jc w:val="center"/>
            </w:pPr>
            <w:r w:rsidRPr="009506FE">
              <w:rPr>
                <w:rFonts w:cs="Calibri"/>
                <w:color w:val="000000"/>
                <w:lang w:eastAsia="pt-BR"/>
              </w:rPr>
              <w:t>Unlimited</w:t>
            </w:r>
          </w:p>
        </w:tc>
        <w:tc>
          <w:tcPr>
            <w:tcW w:w="1934" w:type="dxa"/>
            <w:vAlign w:val="center"/>
          </w:tcPr>
          <w:p w14:paraId="35E53744" w14:textId="77777777" w:rsidR="00016630" w:rsidRDefault="00016630" w:rsidP="00DB7BD0">
            <w:pPr>
              <w:pStyle w:val="NoSpacing"/>
              <w:jc w:val="center"/>
            </w:pPr>
            <w:r w:rsidRPr="009506FE">
              <w:rPr>
                <w:rFonts w:cs="Calibri"/>
                <w:color w:val="000000"/>
                <w:lang w:eastAsia="pt-BR"/>
              </w:rPr>
              <w:t>Unlimited</w:t>
            </w:r>
          </w:p>
        </w:tc>
      </w:tr>
      <w:tr w:rsidR="00016630" w14:paraId="32659667" w14:textId="77777777" w:rsidTr="00DB7BD0">
        <w:tc>
          <w:tcPr>
            <w:tcW w:w="3150" w:type="dxa"/>
            <w:shd w:val="clear" w:color="auto" w:fill="F2F2F2"/>
            <w:vAlign w:val="center"/>
          </w:tcPr>
          <w:p w14:paraId="713C1AEA" w14:textId="77777777" w:rsidR="00016630" w:rsidRPr="008C6D70" w:rsidRDefault="00016630" w:rsidP="00DB7BD0">
            <w:pPr>
              <w:pStyle w:val="NoSpacing"/>
            </w:pPr>
            <w:r w:rsidRPr="008C6D70">
              <w:rPr>
                <w:rFonts w:cs="Calibri"/>
                <w:b/>
                <w:bCs/>
                <w:color w:val="000000"/>
                <w:lang w:eastAsia="pt-BR"/>
              </w:rPr>
              <w:t>One-on-one support with an ISO 13485</w:t>
            </w:r>
            <w:r>
              <w:rPr>
                <w:rFonts w:cs="Calibri"/>
                <w:b/>
                <w:bCs/>
                <w:color w:val="000000"/>
                <w:lang w:eastAsia="pt-BR"/>
              </w:rPr>
              <w:t xml:space="preserve"> / EU MDR</w:t>
            </w:r>
            <w:r w:rsidRPr="008C6D70">
              <w:rPr>
                <w:rFonts w:cs="Calibri"/>
                <w:b/>
                <w:bCs/>
                <w:color w:val="000000"/>
                <w:lang w:eastAsia="pt-BR"/>
              </w:rPr>
              <w:t xml:space="preserve"> expert</w:t>
            </w:r>
          </w:p>
        </w:tc>
        <w:tc>
          <w:tcPr>
            <w:tcW w:w="1933" w:type="dxa"/>
            <w:shd w:val="clear" w:color="auto" w:fill="F2F2F2"/>
            <w:vAlign w:val="center"/>
          </w:tcPr>
          <w:p w14:paraId="29E1872F" w14:textId="77777777" w:rsidR="00016630" w:rsidRDefault="00016630" w:rsidP="00DB7BD0">
            <w:pPr>
              <w:pStyle w:val="NoSpacing"/>
              <w:jc w:val="center"/>
            </w:pPr>
            <w:r w:rsidRPr="009506FE">
              <w:rPr>
                <w:rFonts w:cs="Calibri"/>
                <w:color w:val="000000"/>
                <w:lang w:eastAsia="pt-BR"/>
              </w:rPr>
              <w:t>1 hour</w:t>
            </w:r>
          </w:p>
        </w:tc>
        <w:tc>
          <w:tcPr>
            <w:tcW w:w="1933" w:type="dxa"/>
            <w:shd w:val="clear" w:color="auto" w:fill="F2F2F2"/>
            <w:vAlign w:val="center"/>
          </w:tcPr>
          <w:p w14:paraId="4C0BD96F" w14:textId="77777777" w:rsidR="00016630" w:rsidRDefault="00016630" w:rsidP="00DB7BD0">
            <w:pPr>
              <w:pStyle w:val="NoSpacing"/>
              <w:jc w:val="center"/>
            </w:pPr>
            <w:r w:rsidRPr="009506FE">
              <w:rPr>
                <w:rFonts w:cs="Calibri"/>
                <w:color w:val="000000"/>
                <w:lang w:eastAsia="pt-BR"/>
              </w:rPr>
              <w:t>5 hours</w:t>
            </w:r>
          </w:p>
        </w:tc>
        <w:tc>
          <w:tcPr>
            <w:tcW w:w="1934" w:type="dxa"/>
            <w:shd w:val="clear" w:color="auto" w:fill="F2F2F2"/>
            <w:vAlign w:val="center"/>
          </w:tcPr>
          <w:p w14:paraId="7DA15C79" w14:textId="77777777" w:rsidR="00016630" w:rsidRDefault="00016630" w:rsidP="00DB7BD0">
            <w:pPr>
              <w:pStyle w:val="NoSpacing"/>
              <w:jc w:val="center"/>
            </w:pPr>
            <w:r w:rsidRPr="009506FE">
              <w:rPr>
                <w:rFonts w:cs="Calibri"/>
                <w:color w:val="000000"/>
                <w:lang w:eastAsia="pt-BR"/>
              </w:rPr>
              <w:t>15 hours</w:t>
            </w:r>
          </w:p>
        </w:tc>
      </w:tr>
      <w:tr w:rsidR="00016630" w14:paraId="4536440A" w14:textId="77777777" w:rsidTr="00DB7BD0">
        <w:tc>
          <w:tcPr>
            <w:tcW w:w="3150" w:type="dxa"/>
            <w:vAlign w:val="center"/>
          </w:tcPr>
          <w:p w14:paraId="7E47BE69" w14:textId="77777777" w:rsidR="00016630" w:rsidRPr="008C6D70" w:rsidRDefault="00016630" w:rsidP="00DB7BD0">
            <w:pPr>
              <w:pStyle w:val="NoSpacing"/>
            </w:pPr>
            <w:r w:rsidRPr="008C6D70">
              <w:rPr>
                <w:rFonts w:cs="Calibri"/>
                <w:b/>
                <w:bCs/>
                <w:color w:val="000000"/>
                <w:lang w:eastAsia="pt-BR"/>
              </w:rPr>
              <w:t>Expert review (completed documents)</w:t>
            </w:r>
          </w:p>
        </w:tc>
        <w:tc>
          <w:tcPr>
            <w:tcW w:w="1933" w:type="dxa"/>
            <w:vAlign w:val="center"/>
          </w:tcPr>
          <w:p w14:paraId="2160CFE9" w14:textId="77777777" w:rsidR="00016630" w:rsidRDefault="00016630" w:rsidP="00DB7BD0">
            <w:pPr>
              <w:pStyle w:val="NoSpacing"/>
              <w:jc w:val="center"/>
            </w:pPr>
            <w:r w:rsidRPr="009506FE">
              <w:rPr>
                <w:rFonts w:cs="Calibri"/>
                <w:color w:val="000000"/>
                <w:lang w:eastAsia="pt-BR"/>
              </w:rPr>
              <w:t>1 document</w:t>
            </w:r>
          </w:p>
        </w:tc>
        <w:tc>
          <w:tcPr>
            <w:tcW w:w="1933" w:type="dxa"/>
            <w:vAlign w:val="center"/>
          </w:tcPr>
          <w:p w14:paraId="1A14EA99" w14:textId="77777777" w:rsidR="00016630" w:rsidRDefault="00016630" w:rsidP="00DB7BD0">
            <w:pPr>
              <w:pStyle w:val="NoSpacing"/>
              <w:jc w:val="center"/>
            </w:pPr>
            <w:r w:rsidRPr="009506FE">
              <w:rPr>
                <w:rFonts w:cs="Calibri"/>
                <w:color w:val="000000"/>
                <w:lang w:eastAsia="pt-BR"/>
              </w:rPr>
              <w:t>5 documents</w:t>
            </w:r>
          </w:p>
        </w:tc>
        <w:tc>
          <w:tcPr>
            <w:tcW w:w="1934" w:type="dxa"/>
            <w:vAlign w:val="center"/>
          </w:tcPr>
          <w:p w14:paraId="2F78B7F7" w14:textId="77777777" w:rsidR="00016630" w:rsidRDefault="00016630" w:rsidP="00DB7BD0">
            <w:pPr>
              <w:pStyle w:val="NoSpacing"/>
              <w:jc w:val="center"/>
            </w:pPr>
            <w:r w:rsidRPr="009506FE">
              <w:rPr>
                <w:rFonts w:cs="Calibri"/>
                <w:color w:val="000000"/>
                <w:lang w:eastAsia="pt-BR"/>
              </w:rPr>
              <w:t>15 documents</w:t>
            </w:r>
          </w:p>
        </w:tc>
      </w:tr>
      <w:tr w:rsidR="00016630" w:rsidRPr="009453B2" w14:paraId="217F8FE2" w14:textId="77777777" w:rsidTr="00DB7BD0">
        <w:tc>
          <w:tcPr>
            <w:tcW w:w="3150" w:type="dxa"/>
            <w:shd w:val="clear" w:color="auto" w:fill="F2F2F2"/>
            <w:vAlign w:val="center"/>
          </w:tcPr>
          <w:p w14:paraId="4DDD0E25" w14:textId="77777777" w:rsidR="00016630" w:rsidRPr="008C6D70" w:rsidRDefault="00016630" w:rsidP="00DB7BD0">
            <w:pPr>
              <w:pStyle w:val="NoSpacing"/>
            </w:pPr>
            <w:r w:rsidRPr="008C6D70">
              <w:rPr>
                <w:rFonts w:cs="Calibri"/>
                <w:b/>
                <w:bCs/>
                <w:color w:val="000000"/>
                <w:lang w:eastAsia="pt-BR"/>
              </w:rPr>
              <w:t>Pre-audit check</w:t>
            </w:r>
          </w:p>
        </w:tc>
        <w:tc>
          <w:tcPr>
            <w:tcW w:w="1933" w:type="dxa"/>
            <w:shd w:val="clear" w:color="auto" w:fill="F2F2F2"/>
            <w:vAlign w:val="center"/>
          </w:tcPr>
          <w:p w14:paraId="34748B77" w14:textId="77777777" w:rsidR="00016630" w:rsidRPr="00353855" w:rsidRDefault="00016630" w:rsidP="00DB7BD0">
            <w:pPr>
              <w:pStyle w:val="NoSpacing"/>
              <w:jc w:val="center"/>
              <w:rPr>
                <w:sz w:val="36"/>
                <w:szCs w:val="36"/>
              </w:rPr>
            </w:pPr>
            <w:r w:rsidRPr="00353855">
              <w:rPr>
                <w:rFonts w:cs="Calibri"/>
                <w:b/>
                <w:bCs/>
                <w:color w:val="BFBFBF" w:themeColor="background1" w:themeShade="BF"/>
                <w:sz w:val="36"/>
                <w:szCs w:val="36"/>
                <w:lang w:eastAsia="pt-BR"/>
              </w:rPr>
              <w:t>X</w:t>
            </w:r>
          </w:p>
        </w:tc>
        <w:tc>
          <w:tcPr>
            <w:tcW w:w="1933" w:type="dxa"/>
            <w:shd w:val="clear" w:color="auto" w:fill="F2F2F2"/>
            <w:vAlign w:val="center"/>
          </w:tcPr>
          <w:p w14:paraId="76172EE4" w14:textId="77777777" w:rsidR="00016630" w:rsidRPr="00353855" w:rsidRDefault="00016630" w:rsidP="00DB7BD0">
            <w:pPr>
              <w:pStyle w:val="NoSpacing"/>
              <w:jc w:val="center"/>
              <w:rPr>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c>
          <w:tcPr>
            <w:tcW w:w="1934" w:type="dxa"/>
            <w:shd w:val="clear" w:color="auto" w:fill="F2F2F2"/>
            <w:vAlign w:val="center"/>
          </w:tcPr>
          <w:p w14:paraId="726ED8C9" w14:textId="77777777" w:rsidR="00016630" w:rsidRPr="00353855" w:rsidRDefault="00016630" w:rsidP="00DB7BD0">
            <w:pPr>
              <w:pStyle w:val="NoSpacing"/>
              <w:jc w:val="center"/>
              <w:rPr>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r>
      <w:tr w:rsidR="00016630" w:rsidRPr="00353855" w14:paraId="24C20B50" w14:textId="77777777" w:rsidTr="00DB7BD0">
        <w:tc>
          <w:tcPr>
            <w:tcW w:w="3150" w:type="dxa"/>
            <w:vAlign w:val="center"/>
          </w:tcPr>
          <w:p w14:paraId="35BF8421" w14:textId="77777777" w:rsidR="00016630" w:rsidRPr="00353855" w:rsidRDefault="00016630" w:rsidP="00DB7BD0">
            <w:pPr>
              <w:pStyle w:val="NoSpacing"/>
              <w:jc w:val="center"/>
            </w:pPr>
          </w:p>
        </w:tc>
        <w:tc>
          <w:tcPr>
            <w:tcW w:w="1933" w:type="dxa"/>
            <w:vAlign w:val="center"/>
          </w:tcPr>
          <w:p w14:paraId="0F3CB437" w14:textId="77777777" w:rsidR="00016630" w:rsidRPr="00353855" w:rsidRDefault="00016630" w:rsidP="00DB7BD0">
            <w:pPr>
              <w:pStyle w:val="NoSpacing"/>
              <w:jc w:val="center"/>
            </w:pPr>
            <w:hyperlink r:id="rId11" w:history="1">
              <w:r w:rsidRPr="00353855">
                <w:rPr>
                  <w:rStyle w:val="Hyperlink"/>
                  <w:b/>
                </w:rPr>
                <w:t>ORDER NOW</w:t>
              </w:r>
            </w:hyperlink>
          </w:p>
        </w:tc>
        <w:tc>
          <w:tcPr>
            <w:tcW w:w="1933" w:type="dxa"/>
            <w:vAlign w:val="center"/>
          </w:tcPr>
          <w:p w14:paraId="26DA6DBC" w14:textId="77777777" w:rsidR="00016630" w:rsidRPr="00353855" w:rsidRDefault="00016630" w:rsidP="00DB7BD0">
            <w:pPr>
              <w:pStyle w:val="NoSpacing"/>
              <w:jc w:val="center"/>
            </w:pPr>
            <w:hyperlink r:id="rId12" w:history="1">
              <w:r w:rsidRPr="00353855">
                <w:rPr>
                  <w:rStyle w:val="Hyperlink"/>
                  <w:rFonts w:cs="Calibri"/>
                  <w:b/>
                  <w:bCs/>
                  <w:lang w:eastAsia="pt-BR"/>
                </w:rPr>
                <w:t>ORDER NOW</w:t>
              </w:r>
            </w:hyperlink>
          </w:p>
        </w:tc>
        <w:tc>
          <w:tcPr>
            <w:tcW w:w="1934" w:type="dxa"/>
            <w:vAlign w:val="center"/>
          </w:tcPr>
          <w:p w14:paraId="24B09147" w14:textId="77777777" w:rsidR="00016630" w:rsidRPr="00353855" w:rsidRDefault="00016630" w:rsidP="00DB7BD0">
            <w:pPr>
              <w:pStyle w:val="NoSpacing"/>
              <w:jc w:val="center"/>
            </w:pPr>
            <w:hyperlink r:id="rId13" w:history="1">
              <w:r w:rsidRPr="00353855">
                <w:rPr>
                  <w:rStyle w:val="Hyperlink"/>
                  <w:rFonts w:cs="Calibri"/>
                  <w:b/>
                  <w:bCs/>
                  <w:lang w:eastAsia="pt-BR"/>
                </w:rPr>
                <w:t>ORDER NOW</w:t>
              </w:r>
            </w:hyperlink>
          </w:p>
        </w:tc>
      </w:tr>
      <w:tr w:rsidR="00016630" w14:paraId="1831AC03" w14:textId="77777777" w:rsidTr="00DB7BD0">
        <w:tc>
          <w:tcPr>
            <w:tcW w:w="3150" w:type="dxa"/>
            <w:vAlign w:val="center"/>
          </w:tcPr>
          <w:p w14:paraId="4338D095" w14:textId="77777777" w:rsidR="00016630" w:rsidRDefault="00016630" w:rsidP="00DB7BD0">
            <w:pPr>
              <w:pStyle w:val="NoSpacing"/>
              <w:jc w:val="center"/>
            </w:pPr>
          </w:p>
        </w:tc>
        <w:tc>
          <w:tcPr>
            <w:tcW w:w="5800" w:type="dxa"/>
            <w:gridSpan w:val="3"/>
            <w:vAlign w:val="center"/>
          </w:tcPr>
          <w:p w14:paraId="75A6B9C5" w14:textId="77777777" w:rsidR="00016630" w:rsidRDefault="00016630" w:rsidP="00DB7BD0">
            <w:pPr>
              <w:pStyle w:val="NoSpacing"/>
              <w:jc w:val="center"/>
            </w:pPr>
            <w:r w:rsidRPr="009506FE">
              <w:rPr>
                <w:rFonts w:cs="Calibri"/>
                <w:bCs/>
                <w:noProof/>
                <w:color w:val="808080" w:themeColor="background1" w:themeShade="80"/>
                <w:lang w:val="en-GB" w:eastAsia="pt-BR"/>
              </w:rPr>
              <w:t>(click the link above using CTRL+click)</w:t>
            </w:r>
          </w:p>
        </w:tc>
      </w:tr>
    </w:tbl>
    <w:p w14:paraId="44A0A2DE" w14:textId="77777777" w:rsidR="00016630" w:rsidRDefault="00016630" w:rsidP="00016630">
      <w:pPr>
        <w:spacing w:after="0" w:line="240" w:lineRule="auto"/>
      </w:pPr>
    </w:p>
    <w:p w14:paraId="2E17CFAE" w14:textId="77777777" w:rsidR="00640999" w:rsidRDefault="00640999" w:rsidP="00016630">
      <w:pPr>
        <w:spacing w:after="0"/>
        <w:jc w:val="center"/>
      </w:pPr>
      <w:bookmarkStart w:id="8" w:name="_GoBack"/>
      <w:bookmarkEnd w:id="8"/>
    </w:p>
    <w:sectPr w:rsidR="00640999" w:rsidSect="001808FF">
      <w:headerReference w:type="default" r:id="rId14"/>
      <w:footerReference w:type="default" r:id="rId15"/>
      <w:footerReference w:type="first" r:id="rId16"/>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Advisera" w:date="2023-10-05T13:16:00Z" w:initials="AES">
    <w:p w14:paraId="4FB7E777" w14:textId="751C48EA" w:rsidR="00C111A2" w:rsidRDefault="00C111A2">
      <w:pPr>
        <w:pStyle w:val="CommentText"/>
      </w:pPr>
      <w:r>
        <w:rPr>
          <w:rStyle w:val="CommentReference"/>
        </w:rPr>
        <w:annotationRef/>
      </w:r>
      <w:r>
        <w:t>Include information about your organization.</w:t>
      </w:r>
    </w:p>
  </w:comment>
  <w:comment w:id="0" w:author="Advisera" w:date="2023-10-05T13:21:00Z" w:initials="AES">
    <w:p w14:paraId="32DDCDD4" w14:textId="46C20459" w:rsidR="00C111A2" w:rsidRDefault="00C111A2">
      <w:pPr>
        <w:pStyle w:val="CommentText"/>
      </w:pPr>
      <w:r>
        <w:rPr>
          <w:rStyle w:val="CommentReference"/>
        </w:rPr>
        <w:annotationRef/>
      </w:r>
      <w:r>
        <w:t>All of the fields in this table are mandatory. You are allowed to add any additional field that you consider relevant for your device.</w:t>
      </w:r>
    </w:p>
  </w:comment>
  <w:comment w:id="3" w:author="Advisera" w:date="2023-10-05T13:22:00Z" w:initials="AES">
    <w:p w14:paraId="6D4BEE85" w14:textId="69F5E1EE" w:rsidR="00C111A2" w:rsidRPr="00301A95" w:rsidRDefault="00C111A2">
      <w:pPr>
        <w:pStyle w:val="CommentText"/>
        <w:rPr>
          <w:rFonts w:eastAsia="Times New Roman"/>
        </w:rPr>
      </w:pPr>
      <w:r>
        <w:rPr>
          <w:rStyle w:val="CommentReference"/>
        </w:rPr>
        <w:annotationRef/>
      </w:r>
      <w:r w:rsidRPr="00301A95">
        <w:rPr>
          <w:rFonts w:eastAsia="Times New Roman"/>
          <w:sz w:val="16"/>
          <w:szCs w:val="16"/>
        </w:rPr>
        <w:annotationRef/>
      </w:r>
      <w:r w:rsidRPr="00301A95">
        <w:rPr>
          <w:rFonts w:eastAsia="Times New Roman"/>
          <w:sz w:val="16"/>
          <w:szCs w:val="16"/>
        </w:rPr>
        <w:annotationRef/>
      </w:r>
      <w:r w:rsidRPr="00301A95">
        <w:rPr>
          <w:rFonts w:eastAsia="Times New Roman"/>
        </w:rPr>
        <w:t>Include the name of your organization.</w:t>
      </w:r>
    </w:p>
  </w:comment>
  <w:comment w:id="4" w:author="Advisera" w:date="2023-10-05T14:35:00Z" w:initials="AES">
    <w:p w14:paraId="5466C623" w14:textId="03EAE6BB" w:rsidR="00C111A2" w:rsidRDefault="00C111A2" w:rsidP="00276451">
      <w:pPr>
        <w:pStyle w:val="CommentText"/>
      </w:pPr>
      <w:r>
        <w:rPr>
          <w:rStyle w:val="CommentReference"/>
        </w:rPr>
        <w:annotationRef/>
      </w:r>
      <w:r>
        <w:t>If a data collection period has been changed, include here a justification for it, and a statement whether the change affects the comparability of the results gained.</w:t>
      </w:r>
    </w:p>
    <w:p w14:paraId="65A23D24" w14:textId="56F4408C" w:rsidR="00C111A2" w:rsidRDefault="00C111A2" w:rsidP="00276451">
      <w:pPr>
        <w:pStyle w:val="CommentText"/>
      </w:pPr>
    </w:p>
    <w:p w14:paraId="735D10E0" w14:textId="6D414F0B" w:rsidR="00C111A2" w:rsidRDefault="00C111A2" w:rsidP="00276451">
      <w:pPr>
        <w:pStyle w:val="CommentText"/>
      </w:pPr>
      <w:r>
        <w:t>Otherwise, you can delete these two rows.</w:t>
      </w:r>
    </w:p>
  </w:comment>
  <w:comment w:id="5" w:author="Advisera" w:date="2023-05-03T09:39:00Z" w:initials="A">
    <w:p w14:paraId="3521597D" w14:textId="172E371F" w:rsidR="00C111A2" w:rsidRDefault="00C111A2" w:rsidP="00CC624B">
      <w:pPr>
        <w:pStyle w:val="CommentText"/>
      </w:pPr>
      <w:r>
        <w:rPr>
          <w:rStyle w:val="CommentReference"/>
        </w:rPr>
        <w:annotationRef/>
      </w:r>
      <w:r w:rsidR="00CC624B">
        <w:t>…</w:t>
      </w:r>
    </w:p>
  </w:comment>
  <w:comment w:id="7" w:author="Advisera" w:date="2023-10-05T15:04:00Z" w:initials="AES">
    <w:p w14:paraId="1978985B" w14:textId="7C33EA95" w:rsidR="00CC624B" w:rsidRDefault="00C111A2" w:rsidP="00CC624B">
      <w:pPr>
        <w:pStyle w:val="CommentText"/>
      </w:pPr>
      <w:r>
        <w:rPr>
          <w:rStyle w:val="CommentReference"/>
        </w:rPr>
        <w:annotationRef/>
      </w:r>
      <w:r w:rsidR="00CC624B">
        <w:t>…</w:t>
      </w:r>
    </w:p>
    <w:p w14:paraId="1D4F50CF" w14:textId="0DA8F8C6" w:rsidR="00C111A2" w:rsidRDefault="00C111A2" w:rsidP="00F43255">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FB7E777" w15:done="0"/>
  <w15:commentEx w15:paraId="32DDCDD4" w15:done="0"/>
  <w15:commentEx w15:paraId="6D4BEE85" w15:done="0"/>
  <w15:commentEx w15:paraId="735D10E0" w15:done="0"/>
  <w15:commentEx w15:paraId="3521597D" w15:done="0"/>
  <w15:commentEx w15:paraId="1D4F50C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FB7E777" w16cid:durableId="28C93599"/>
  <w16cid:commentId w16cid:paraId="32DDCDD4" w16cid:durableId="28C936BE"/>
  <w16cid:commentId w16cid:paraId="6D4BEE85" w16cid:durableId="28C93728"/>
  <w16cid:commentId w16cid:paraId="735D10E0" w16cid:durableId="28C94849"/>
  <w16cid:commentId w16cid:paraId="3521597D" w16cid:durableId="27FCAA6B"/>
  <w16cid:commentId w16cid:paraId="1D4F50CF" w16cid:durableId="28C94EF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3308F1" w14:textId="77777777" w:rsidR="00D53A8E" w:rsidRDefault="00D53A8E" w:rsidP="00F961E0">
      <w:pPr>
        <w:spacing w:after="0" w:line="240" w:lineRule="auto"/>
      </w:pPr>
      <w:r>
        <w:separator/>
      </w:r>
    </w:p>
  </w:endnote>
  <w:endnote w:type="continuationSeparator" w:id="0">
    <w:p w14:paraId="246E9B25" w14:textId="77777777" w:rsidR="00D53A8E" w:rsidRDefault="00D53A8E" w:rsidP="00F96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202" w:type="dxa"/>
      <w:tblBorders>
        <w:top w:val="single" w:sz="4" w:space="0" w:color="000000"/>
        <w:insideH w:val="single" w:sz="4" w:space="0" w:color="000000"/>
      </w:tblBorders>
      <w:tblLook w:val="04A0" w:firstRow="1" w:lastRow="0" w:firstColumn="1" w:lastColumn="0" w:noHBand="0" w:noVBand="1"/>
    </w:tblPr>
    <w:tblGrid>
      <w:gridCol w:w="3068"/>
      <w:gridCol w:w="3067"/>
      <w:gridCol w:w="3067"/>
    </w:tblGrid>
    <w:tr w:rsidR="00C111A2" w:rsidRPr="00386DCE" w14:paraId="19F29F31" w14:textId="77777777" w:rsidTr="00A07816">
      <w:trPr>
        <w:trHeight w:val="551"/>
      </w:trPr>
      <w:tc>
        <w:tcPr>
          <w:tcW w:w="2999" w:type="dxa"/>
        </w:tcPr>
        <w:p w14:paraId="34C99784" w14:textId="4A00E95B" w:rsidR="00C111A2" w:rsidRPr="00386DCE" w:rsidRDefault="00C111A2" w:rsidP="00F961E0">
          <w:pPr>
            <w:pStyle w:val="Footer"/>
            <w:rPr>
              <w:sz w:val="18"/>
              <w:szCs w:val="18"/>
            </w:rPr>
          </w:pPr>
          <w:r w:rsidRPr="001808FF">
            <w:rPr>
              <w:sz w:val="18"/>
            </w:rPr>
            <w:t>Appendix 3 – Periodic Safety Update Report (PSUR)</w:t>
          </w:r>
        </w:p>
      </w:tc>
      <w:tc>
        <w:tcPr>
          <w:tcW w:w="2999" w:type="dxa"/>
        </w:tcPr>
        <w:p w14:paraId="34C666EA" w14:textId="77777777" w:rsidR="00C111A2" w:rsidRPr="00386DCE" w:rsidRDefault="00C111A2" w:rsidP="006571EC">
          <w:pPr>
            <w:pStyle w:val="Footer"/>
            <w:jc w:val="center"/>
            <w:rPr>
              <w:sz w:val="18"/>
              <w:szCs w:val="18"/>
            </w:rPr>
          </w:pPr>
          <w:r w:rsidRPr="00386DCE">
            <w:rPr>
              <w:sz w:val="18"/>
            </w:rPr>
            <w:t>ver. [version] from [date]</w:t>
          </w:r>
        </w:p>
      </w:tc>
      <w:tc>
        <w:tcPr>
          <w:tcW w:w="2999" w:type="dxa"/>
        </w:tcPr>
        <w:p w14:paraId="3A66EF2F" w14:textId="0A2D90E0" w:rsidR="00C111A2" w:rsidRPr="00386DCE" w:rsidRDefault="00C111A2" w:rsidP="006571EC">
          <w:pPr>
            <w:pStyle w:val="Footer"/>
            <w:jc w:val="right"/>
            <w:rPr>
              <w:b/>
              <w:sz w:val="18"/>
              <w:szCs w:val="18"/>
            </w:rPr>
          </w:pPr>
          <w:r w:rsidRPr="00386DCE">
            <w:rPr>
              <w:sz w:val="18"/>
            </w:rPr>
            <w:t xml:space="preserve">Page </w:t>
          </w:r>
          <w:r w:rsidRPr="00386DCE">
            <w:rPr>
              <w:b/>
              <w:sz w:val="18"/>
            </w:rPr>
            <w:fldChar w:fldCharType="begin"/>
          </w:r>
          <w:r w:rsidRPr="00386DCE">
            <w:rPr>
              <w:b/>
              <w:sz w:val="18"/>
            </w:rPr>
            <w:instrText xml:space="preserve"> PAGE </w:instrText>
          </w:r>
          <w:r w:rsidRPr="00386DCE">
            <w:rPr>
              <w:b/>
              <w:sz w:val="18"/>
            </w:rPr>
            <w:fldChar w:fldCharType="separate"/>
          </w:r>
          <w:r w:rsidR="00D53A8E">
            <w:rPr>
              <w:b/>
              <w:noProof/>
              <w:sz w:val="18"/>
            </w:rPr>
            <w:t>1</w:t>
          </w:r>
          <w:r w:rsidRPr="00386DCE">
            <w:rPr>
              <w:b/>
              <w:sz w:val="18"/>
            </w:rPr>
            <w:fldChar w:fldCharType="end"/>
          </w:r>
          <w:r w:rsidRPr="00386DCE">
            <w:rPr>
              <w:sz w:val="18"/>
            </w:rPr>
            <w:t xml:space="preserve"> of </w:t>
          </w:r>
          <w:r w:rsidRPr="00386DCE">
            <w:rPr>
              <w:b/>
              <w:sz w:val="18"/>
            </w:rPr>
            <w:fldChar w:fldCharType="begin"/>
          </w:r>
          <w:r w:rsidRPr="00386DCE">
            <w:rPr>
              <w:b/>
              <w:sz w:val="18"/>
            </w:rPr>
            <w:instrText xml:space="preserve"> NUMPAGES  </w:instrText>
          </w:r>
          <w:r w:rsidRPr="00386DCE">
            <w:rPr>
              <w:b/>
              <w:sz w:val="18"/>
            </w:rPr>
            <w:fldChar w:fldCharType="separate"/>
          </w:r>
          <w:r w:rsidR="00D53A8E">
            <w:rPr>
              <w:b/>
              <w:noProof/>
              <w:sz w:val="18"/>
            </w:rPr>
            <w:t>1</w:t>
          </w:r>
          <w:r w:rsidRPr="00386DCE">
            <w:rPr>
              <w:b/>
              <w:sz w:val="18"/>
            </w:rPr>
            <w:fldChar w:fldCharType="end"/>
          </w:r>
        </w:p>
      </w:tc>
    </w:tr>
  </w:tbl>
  <w:p w14:paraId="0A0035AF" w14:textId="67143BFB" w:rsidR="00C111A2" w:rsidRPr="00386DCE" w:rsidRDefault="00C111A2" w:rsidP="00386DCE">
    <w:pPr>
      <w:autoSpaceDE w:val="0"/>
      <w:autoSpaceDN w:val="0"/>
      <w:adjustRightInd w:val="0"/>
      <w:spacing w:after="0"/>
      <w:jc w:val="center"/>
      <w:rPr>
        <w:sz w:val="16"/>
        <w:szCs w:val="16"/>
      </w:rPr>
    </w:pPr>
    <w:r w:rsidRPr="00CC1756">
      <w:rPr>
        <w:sz w:val="16"/>
      </w:rPr>
      <w:t>©2023 This template may be used by clients of Advisera Expert Solutions Ltd. www.advisera.com in accordance with the License Agreement.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59D183" w14:textId="77777777" w:rsidR="00C111A2" w:rsidRPr="00386DCE" w:rsidRDefault="00C111A2" w:rsidP="004B1E43">
    <w:pPr>
      <w:autoSpaceDE w:val="0"/>
      <w:autoSpaceDN w:val="0"/>
      <w:adjustRightInd w:val="0"/>
      <w:spacing w:after="0"/>
      <w:jc w:val="cen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FC8F01" w14:textId="77777777" w:rsidR="00D53A8E" w:rsidRDefault="00D53A8E" w:rsidP="00F961E0">
      <w:pPr>
        <w:spacing w:after="0" w:line="240" w:lineRule="auto"/>
      </w:pPr>
      <w:r>
        <w:separator/>
      </w:r>
    </w:p>
  </w:footnote>
  <w:footnote w:type="continuationSeparator" w:id="0">
    <w:p w14:paraId="54C159AD" w14:textId="77777777" w:rsidR="00D53A8E" w:rsidRDefault="00D53A8E" w:rsidP="00F96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202" w:type="dxa"/>
      <w:tblBorders>
        <w:bottom w:val="single" w:sz="4" w:space="0" w:color="000000"/>
        <w:insideH w:val="single" w:sz="4" w:space="0" w:color="000000"/>
      </w:tblBorders>
      <w:tblLook w:val="04A0" w:firstRow="1" w:lastRow="0" w:firstColumn="1" w:lastColumn="0" w:noHBand="0" w:noVBand="1"/>
    </w:tblPr>
    <w:tblGrid>
      <w:gridCol w:w="6710"/>
      <w:gridCol w:w="2492"/>
    </w:tblGrid>
    <w:tr w:rsidR="00C111A2" w:rsidRPr="00386DCE" w14:paraId="7D1142C5" w14:textId="77777777" w:rsidTr="00A07816">
      <w:tc>
        <w:tcPr>
          <w:tcW w:w="6771" w:type="dxa"/>
        </w:tcPr>
        <w:p w14:paraId="72F8D0DE" w14:textId="561DC269" w:rsidR="00C111A2" w:rsidRPr="00386DCE" w:rsidRDefault="00C111A2" w:rsidP="006571EC">
          <w:pPr>
            <w:pStyle w:val="Header"/>
            <w:spacing w:after="0"/>
            <w:rPr>
              <w:sz w:val="20"/>
              <w:szCs w:val="20"/>
            </w:rPr>
          </w:pPr>
          <w:r w:rsidRPr="00386DCE">
            <w:rPr>
              <w:sz w:val="20"/>
              <w:szCs w:val="20"/>
            </w:rPr>
            <w:t>[organization name]</w:t>
          </w:r>
        </w:p>
      </w:tc>
      <w:tc>
        <w:tcPr>
          <w:tcW w:w="2517" w:type="dxa"/>
        </w:tcPr>
        <w:p w14:paraId="4E71C14B" w14:textId="77777777" w:rsidR="00C111A2" w:rsidRPr="00386DCE" w:rsidRDefault="00C111A2" w:rsidP="006571EC">
          <w:pPr>
            <w:pStyle w:val="Header"/>
            <w:spacing w:after="0"/>
            <w:jc w:val="right"/>
            <w:rPr>
              <w:sz w:val="20"/>
              <w:szCs w:val="20"/>
            </w:rPr>
          </w:pPr>
        </w:p>
      </w:tc>
    </w:tr>
  </w:tbl>
  <w:p w14:paraId="1A3B6852" w14:textId="77777777" w:rsidR="00C111A2" w:rsidRPr="00386DCE" w:rsidRDefault="00C111A2" w:rsidP="00E364E2">
    <w:pPr>
      <w:pStyle w:val="Header"/>
      <w:spacing w:after="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35" type="#_x0000_t75" style="width:43.2pt;height:43.8pt" o:bullet="t">
        <v:imagedata r:id="rId1" o:title="Checkmark"/>
      </v:shape>
    </w:pict>
  </w:numPicBullet>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87D5AEB"/>
    <w:multiLevelType w:val="hybridMultilevel"/>
    <w:tmpl w:val="6E9253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AE408F4"/>
    <w:multiLevelType w:val="hybridMultilevel"/>
    <w:tmpl w:val="A5F8A4DC"/>
    <w:lvl w:ilvl="0" w:tplc="3E48DD3A">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11CE5243"/>
    <w:multiLevelType w:val="hybridMultilevel"/>
    <w:tmpl w:val="18B66EA6"/>
    <w:lvl w:ilvl="0" w:tplc="DE5ACC16">
      <w:start w:val="1"/>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B291E29"/>
    <w:multiLevelType w:val="hybridMultilevel"/>
    <w:tmpl w:val="6178CE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08549A8"/>
    <w:multiLevelType w:val="hybridMultilevel"/>
    <w:tmpl w:val="BFEE9A34"/>
    <w:lvl w:ilvl="0" w:tplc="60AE916E">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25D06582"/>
    <w:multiLevelType w:val="hybridMultilevel"/>
    <w:tmpl w:val="D17892CE"/>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7" w15:restartNumberingAfterBreak="0">
    <w:nsid w:val="32B04F65"/>
    <w:multiLevelType w:val="hybridMultilevel"/>
    <w:tmpl w:val="4092792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392A3AAD"/>
    <w:multiLevelType w:val="hybridMultilevel"/>
    <w:tmpl w:val="603A26C2"/>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9" w15:restartNumberingAfterBreak="0">
    <w:nsid w:val="3B782A99"/>
    <w:multiLevelType w:val="hybridMultilevel"/>
    <w:tmpl w:val="B54485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C041B2C"/>
    <w:multiLevelType w:val="hybridMultilevel"/>
    <w:tmpl w:val="38B4D8B6"/>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1" w15:restartNumberingAfterBreak="0">
    <w:nsid w:val="413E1A18"/>
    <w:multiLevelType w:val="hybridMultilevel"/>
    <w:tmpl w:val="9B3AA782"/>
    <w:lvl w:ilvl="0" w:tplc="1C34460C">
      <w:start w:val="1"/>
      <w:numFmt w:val="bullet"/>
      <w:lvlText w:val=""/>
      <w:lvlPicBulletId w:val="0"/>
      <w:lvlJc w:val="left"/>
      <w:pPr>
        <w:ind w:left="1800" w:hanging="360"/>
      </w:pPr>
      <w:rPr>
        <w:rFonts w:ascii="Symbol" w:hAnsi="Symbol" w:hint="default"/>
        <w:color w:val="auto"/>
      </w:rPr>
    </w:lvl>
    <w:lvl w:ilvl="1" w:tplc="04160003" w:tentative="1">
      <w:start w:val="1"/>
      <w:numFmt w:val="bullet"/>
      <w:lvlText w:val="o"/>
      <w:lvlJc w:val="left"/>
      <w:pPr>
        <w:ind w:left="2520" w:hanging="360"/>
      </w:pPr>
      <w:rPr>
        <w:rFonts w:ascii="Courier New" w:hAnsi="Courier New" w:cs="Courier New" w:hint="default"/>
      </w:rPr>
    </w:lvl>
    <w:lvl w:ilvl="2" w:tplc="04160005" w:tentative="1">
      <w:start w:val="1"/>
      <w:numFmt w:val="bullet"/>
      <w:lvlText w:val=""/>
      <w:lvlJc w:val="left"/>
      <w:pPr>
        <w:ind w:left="3240" w:hanging="360"/>
      </w:pPr>
      <w:rPr>
        <w:rFonts w:ascii="Wingdings" w:hAnsi="Wingdings" w:hint="default"/>
      </w:rPr>
    </w:lvl>
    <w:lvl w:ilvl="3" w:tplc="04160001" w:tentative="1">
      <w:start w:val="1"/>
      <w:numFmt w:val="bullet"/>
      <w:lvlText w:val=""/>
      <w:lvlJc w:val="left"/>
      <w:pPr>
        <w:ind w:left="3960" w:hanging="360"/>
      </w:pPr>
      <w:rPr>
        <w:rFonts w:ascii="Symbol" w:hAnsi="Symbol" w:hint="default"/>
      </w:rPr>
    </w:lvl>
    <w:lvl w:ilvl="4" w:tplc="04160003" w:tentative="1">
      <w:start w:val="1"/>
      <w:numFmt w:val="bullet"/>
      <w:lvlText w:val="o"/>
      <w:lvlJc w:val="left"/>
      <w:pPr>
        <w:ind w:left="4680" w:hanging="360"/>
      </w:pPr>
      <w:rPr>
        <w:rFonts w:ascii="Courier New" w:hAnsi="Courier New" w:cs="Courier New" w:hint="default"/>
      </w:rPr>
    </w:lvl>
    <w:lvl w:ilvl="5" w:tplc="04160005" w:tentative="1">
      <w:start w:val="1"/>
      <w:numFmt w:val="bullet"/>
      <w:lvlText w:val=""/>
      <w:lvlJc w:val="left"/>
      <w:pPr>
        <w:ind w:left="5400" w:hanging="360"/>
      </w:pPr>
      <w:rPr>
        <w:rFonts w:ascii="Wingdings" w:hAnsi="Wingdings" w:hint="default"/>
      </w:rPr>
    </w:lvl>
    <w:lvl w:ilvl="6" w:tplc="04160001" w:tentative="1">
      <w:start w:val="1"/>
      <w:numFmt w:val="bullet"/>
      <w:lvlText w:val=""/>
      <w:lvlJc w:val="left"/>
      <w:pPr>
        <w:ind w:left="6120" w:hanging="360"/>
      </w:pPr>
      <w:rPr>
        <w:rFonts w:ascii="Symbol" w:hAnsi="Symbol" w:hint="default"/>
      </w:rPr>
    </w:lvl>
    <w:lvl w:ilvl="7" w:tplc="04160003" w:tentative="1">
      <w:start w:val="1"/>
      <w:numFmt w:val="bullet"/>
      <w:lvlText w:val="o"/>
      <w:lvlJc w:val="left"/>
      <w:pPr>
        <w:ind w:left="6840" w:hanging="360"/>
      </w:pPr>
      <w:rPr>
        <w:rFonts w:ascii="Courier New" w:hAnsi="Courier New" w:cs="Courier New" w:hint="default"/>
      </w:rPr>
    </w:lvl>
    <w:lvl w:ilvl="8" w:tplc="04160005" w:tentative="1">
      <w:start w:val="1"/>
      <w:numFmt w:val="bullet"/>
      <w:lvlText w:val=""/>
      <w:lvlJc w:val="left"/>
      <w:pPr>
        <w:ind w:left="7560" w:hanging="360"/>
      </w:pPr>
      <w:rPr>
        <w:rFonts w:ascii="Wingdings" w:hAnsi="Wingdings" w:hint="default"/>
      </w:rPr>
    </w:lvl>
  </w:abstractNum>
  <w:abstractNum w:abstractNumId="12" w15:restartNumberingAfterBreak="0">
    <w:nsid w:val="44680AAC"/>
    <w:multiLevelType w:val="hybridMultilevel"/>
    <w:tmpl w:val="2DBC13BA"/>
    <w:lvl w:ilvl="0" w:tplc="1C34460C">
      <w:start w:val="1"/>
      <w:numFmt w:val="bullet"/>
      <w:lvlText w:val=""/>
      <w:lvlPicBulletId w:val="0"/>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4A276FA3"/>
    <w:multiLevelType w:val="hybridMultilevel"/>
    <w:tmpl w:val="FDB250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A904CE8"/>
    <w:multiLevelType w:val="hybridMultilevel"/>
    <w:tmpl w:val="4DA63A5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4DA85C07"/>
    <w:multiLevelType w:val="hybridMultilevel"/>
    <w:tmpl w:val="6DD2760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644912B9"/>
    <w:multiLevelType w:val="hybridMultilevel"/>
    <w:tmpl w:val="FDE048A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65070C5A"/>
    <w:multiLevelType w:val="hybridMultilevel"/>
    <w:tmpl w:val="26C0F9F0"/>
    <w:lvl w:ilvl="0" w:tplc="FA460C5A">
      <w:start w:val="1"/>
      <w:numFmt w:val="bullet"/>
      <w:lvlText w:val=""/>
      <w:lvlJc w:val="left"/>
      <w:pPr>
        <w:ind w:left="360" w:hanging="360"/>
      </w:pPr>
      <w:rPr>
        <w:rFonts w:ascii="Symbol" w:hAnsi="Symbol"/>
      </w:rPr>
    </w:lvl>
    <w:lvl w:ilvl="1" w:tplc="1BEA67F4">
      <w:start w:val="1"/>
      <w:numFmt w:val="bullet"/>
      <w:lvlText w:val=""/>
      <w:lvlJc w:val="left"/>
      <w:pPr>
        <w:ind w:left="360" w:hanging="360"/>
      </w:pPr>
      <w:rPr>
        <w:rFonts w:ascii="Symbol" w:hAnsi="Symbol"/>
      </w:rPr>
    </w:lvl>
    <w:lvl w:ilvl="2" w:tplc="5DE69A86">
      <w:start w:val="1"/>
      <w:numFmt w:val="bullet"/>
      <w:lvlText w:val=""/>
      <w:lvlJc w:val="left"/>
      <w:pPr>
        <w:ind w:left="360" w:hanging="360"/>
      </w:pPr>
      <w:rPr>
        <w:rFonts w:ascii="Symbol" w:hAnsi="Symbol"/>
      </w:rPr>
    </w:lvl>
    <w:lvl w:ilvl="3" w:tplc="87FE9E32">
      <w:start w:val="1"/>
      <w:numFmt w:val="bullet"/>
      <w:lvlText w:val=""/>
      <w:lvlJc w:val="left"/>
      <w:pPr>
        <w:ind w:left="360" w:hanging="360"/>
      </w:pPr>
      <w:rPr>
        <w:rFonts w:ascii="Symbol" w:hAnsi="Symbol"/>
      </w:rPr>
    </w:lvl>
    <w:lvl w:ilvl="4" w:tplc="6546B808">
      <w:start w:val="1"/>
      <w:numFmt w:val="bullet"/>
      <w:lvlText w:val=""/>
      <w:lvlJc w:val="left"/>
      <w:pPr>
        <w:ind w:left="360" w:hanging="360"/>
      </w:pPr>
      <w:rPr>
        <w:rFonts w:ascii="Symbol" w:hAnsi="Symbol"/>
      </w:rPr>
    </w:lvl>
    <w:lvl w:ilvl="5" w:tplc="B080B7B2">
      <w:start w:val="1"/>
      <w:numFmt w:val="bullet"/>
      <w:lvlText w:val=""/>
      <w:lvlJc w:val="left"/>
      <w:pPr>
        <w:ind w:left="360" w:hanging="360"/>
      </w:pPr>
      <w:rPr>
        <w:rFonts w:ascii="Symbol" w:hAnsi="Symbol"/>
      </w:rPr>
    </w:lvl>
    <w:lvl w:ilvl="6" w:tplc="CD582832">
      <w:start w:val="1"/>
      <w:numFmt w:val="bullet"/>
      <w:lvlText w:val=""/>
      <w:lvlJc w:val="left"/>
      <w:pPr>
        <w:ind w:left="360" w:hanging="360"/>
      </w:pPr>
      <w:rPr>
        <w:rFonts w:ascii="Symbol" w:hAnsi="Symbol"/>
      </w:rPr>
    </w:lvl>
    <w:lvl w:ilvl="7" w:tplc="79D8D912">
      <w:start w:val="1"/>
      <w:numFmt w:val="bullet"/>
      <w:lvlText w:val=""/>
      <w:lvlJc w:val="left"/>
      <w:pPr>
        <w:ind w:left="360" w:hanging="360"/>
      </w:pPr>
      <w:rPr>
        <w:rFonts w:ascii="Symbol" w:hAnsi="Symbol"/>
      </w:rPr>
    </w:lvl>
    <w:lvl w:ilvl="8" w:tplc="46243E06">
      <w:start w:val="1"/>
      <w:numFmt w:val="bullet"/>
      <w:lvlText w:val=""/>
      <w:lvlJc w:val="left"/>
      <w:pPr>
        <w:ind w:left="360" w:hanging="360"/>
      </w:pPr>
      <w:rPr>
        <w:rFonts w:ascii="Symbol" w:hAnsi="Symbol"/>
      </w:rPr>
    </w:lvl>
  </w:abstractNum>
  <w:abstractNum w:abstractNumId="18" w15:restartNumberingAfterBreak="0">
    <w:nsid w:val="6E5A31B5"/>
    <w:multiLevelType w:val="hybridMultilevel"/>
    <w:tmpl w:val="4D4A864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3"/>
  </w:num>
  <w:num w:numId="4">
    <w:abstractNumId w:val="15"/>
  </w:num>
  <w:num w:numId="5">
    <w:abstractNumId w:val="14"/>
  </w:num>
  <w:num w:numId="6">
    <w:abstractNumId w:val="16"/>
  </w:num>
  <w:num w:numId="7">
    <w:abstractNumId w:val="10"/>
  </w:num>
  <w:num w:numId="8">
    <w:abstractNumId w:val="18"/>
  </w:num>
  <w:num w:numId="9">
    <w:abstractNumId w:val="6"/>
  </w:num>
  <w:num w:numId="10">
    <w:abstractNumId w:val="8"/>
  </w:num>
  <w:num w:numId="11">
    <w:abstractNumId w:val="17"/>
  </w:num>
  <w:num w:numId="12">
    <w:abstractNumId w:val="9"/>
  </w:num>
  <w:num w:numId="13">
    <w:abstractNumId w:val="13"/>
  </w:num>
  <w:num w:numId="14">
    <w:abstractNumId w:val="4"/>
  </w:num>
  <w:num w:numId="15">
    <w:abstractNumId w:val="1"/>
  </w:num>
  <w:num w:numId="16">
    <w:abstractNumId w:val="5"/>
  </w:num>
  <w:num w:numId="17">
    <w:abstractNumId w:val="12"/>
  </w:num>
  <w:num w:numId="18">
    <w:abstractNumId w:val="11"/>
  </w:num>
  <w:num w:numId="19">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7DFD"/>
    <w:rsid w:val="00013677"/>
    <w:rsid w:val="00016630"/>
    <w:rsid w:val="00021DF3"/>
    <w:rsid w:val="000259D2"/>
    <w:rsid w:val="00030EF8"/>
    <w:rsid w:val="00033CF9"/>
    <w:rsid w:val="00034FCC"/>
    <w:rsid w:val="00035E5A"/>
    <w:rsid w:val="00040AF7"/>
    <w:rsid w:val="000607DC"/>
    <w:rsid w:val="00065FFB"/>
    <w:rsid w:val="00066319"/>
    <w:rsid w:val="00072410"/>
    <w:rsid w:val="00084A4D"/>
    <w:rsid w:val="000A0436"/>
    <w:rsid w:val="000A23E5"/>
    <w:rsid w:val="000B20EF"/>
    <w:rsid w:val="000C1479"/>
    <w:rsid w:val="000E11FD"/>
    <w:rsid w:val="000F0B85"/>
    <w:rsid w:val="000F16F4"/>
    <w:rsid w:val="00110F5C"/>
    <w:rsid w:val="00111B50"/>
    <w:rsid w:val="00113E7A"/>
    <w:rsid w:val="0012399D"/>
    <w:rsid w:val="001258A8"/>
    <w:rsid w:val="001616D4"/>
    <w:rsid w:val="001617C3"/>
    <w:rsid w:val="001648C3"/>
    <w:rsid w:val="00166491"/>
    <w:rsid w:val="00167870"/>
    <w:rsid w:val="00170411"/>
    <w:rsid w:val="00174B57"/>
    <w:rsid w:val="001808FF"/>
    <w:rsid w:val="00186F75"/>
    <w:rsid w:val="001916A8"/>
    <w:rsid w:val="00195858"/>
    <w:rsid w:val="001B18F4"/>
    <w:rsid w:val="001B2A2E"/>
    <w:rsid w:val="001B627C"/>
    <w:rsid w:val="001E1369"/>
    <w:rsid w:val="001E2E99"/>
    <w:rsid w:val="001F0409"/>
    <w:rsid w:val="001F1FA6"/>
    <w:rsid w:val="001F4826"/>
    <w:rsid w:val="00231915"/>
    <w:rsid w:val="00240CB4"/>
    <w:rsid w:val="00247669"/>
    <w:rsid w:val="002539EC"/>
    <w:rsid w:val="0026388C"/>
    <w:rsid w:val="00265B41"/>
    <w:rsid w:val="002714DD"/>
    <w:rsid w:val="00272162"/>
    <w:rsid w:val="00276451"/>
    <w:rsid w:val="00282C60"/>
    <w:rsid w:val="002939F9"/>
    <w:rsid w:val="002A5F8B"/>
    <w:rsid w:val="002C239D"/>
    <w:rsid w:val="002D47C7"/>
    <w:rsid w:val="002E5E5E"/>
    <w:rsid w:val="002F160C"/>
    <w:rsid w:val="002F464D"/>
    <w:rsid w:val="00301A95"/>
    <w:rsid w:val="00301C2D"/>
    <w:rsid w:val="00301E36"/>
    <w:rsid w:val="003056B2"/>
    <w:rsid w:val="0031298A"/>
    <w:rsid w:val="003159B8"/>
    <w:rsid w:val="00317A80"/>
    <w:rsid w:val="00321802"/>
    <w:rsid w:val="003360AA"/>
    <w:rsid w:val="00336C6C"/>
    <w:rsid w:val="00341954"/>
    <w:rsid w:val="00347885"/>
    <w:rsid w:val="00351A7B"/>
    <w:rsid w:val="00357DA9"/>
    <w:rsid w:val="0036224F"/>
    <w:rsid w:val="00373881"/>
    <w:rsid w:val="00373C87"/>
    <w:rsid w:val="00381AAC"/>
    <w:rsid w:val="0038697F"/>
    <w:rsid w:val="00386DCE"/>
    <w:rsid w:val="00393903"/>
    <w:rsid w:val="00395C52"/>
    <w:rsid w:val="00397CF8"/>
    <w:rsid w:val="003A212D"/>
    <w:rsid w:val="003A5D9D"/>
    <w:rsid w:val="003B1F24"/>
    <w:rsid w:val="003D03A0"/>
    <w:rsid w:val="003D326F"/>
    <w:rsid w:val="003D4C19"/>
    <w:rsid w:val="003D5835"/>
    <w:rsid w:val="003F63F4"/>
    <w:rsid w:val="004171E5"/>
    <w:rsid w:val="00422E6C"/>
    <w:rsid w:val="00425960"/>
    <w:rsid w:val="00432BAB"/>
    <w:rsid w:val="004335C4"/>
    <w:rsid w:val="00437A40"/>
    <w:rsid w:val="00450464"/>
    <w:rsid w:val="00456A0D"/>
    <w:rsid w:val="00470DF6"/>
    <w:rsid w:val="00483A17"/>
    <w:rsid w:val="00487F5E"/>
    <w:rsid w:val="004B1E43"/>
    <w:rsid w:val="004B33D9"/>
    <w:rsid w:val="004C00D2"/>
    <w:rsid w:val="004C4903"/>
    <w:rsid w:val="004D3B0D"/>
    <w:rsid w:val="004D7B7E"/>
    <w:rsid w:val="004E467B"/>
    <w:rsid w:val="00524EA0"/>
    <w:rsid w:val="0052610B"/>
    <w:rsid w:val="00536067"/>
    <w:rsid w:val="00542B74"/>
    <w:rsid w:val="00547F11"/>
    <w:rsid w:val="00554140"/>
    <w:rsid w:val="0056521D"/>
    <w:rsid w:val="0057176E"/>
    <w:rsid w:val="00582C00"/>
    <w:rsid w:val="0059006B"/>
    <w:rsid w:val="00590C6D"/>
    <w:rsid w:val="005B094C"/>
    <w:rsid w:val="005B52CE"/>
    <w:rsid w:val="005C3AC6"/>
    <w:rsid w:val="005D4821"/>
    <w:rsid w:val="005E2633"/>
    <w:rsid w:val="005F1115"/>
    <w:rsid w:val="00604D85"/>
    <w:rsid w:val="006210DE"/>
    <w:rsid w:val="006225A6"/>
    <w:rsid w:val="00622BB6"/>
    <w:rsid w:val="0062462E"/>
    <w:rsid w:val="00626075"/>
    <w:rsid w:val="00640999"/>
    <w:rsid w:val="00640CD1"/>
    <w:rsid w:val="00643F27"/>
    <w:rsid w:val="006467CE"/>
    <w:rsid w:val="00653BC8"/>
    <w:rsid w:val="006571EC"/>
    <w:rsid w:val="00657434"/>
    <w:rsid w:val="00667EE3"/>
    <w:rsid w:val="00676676"/>
    <w:rsid w:val="00677CF9"/>
    <w:rsid w:val="00687511"/>
    <w:rsid w:val="00695EB9"/>
    <w:rsid w:val="006A6870"/>
    <w:rsid w:val="006B6C75"/>
    <w:rsid w:val="006D3722"/>
    <w:rsid w:val="006D7C63"/>
    <w:rsid w:val="006E3FCB"/>
    <w:rsid w:val="006F535E"/>
    <w:rsid w:val="00711616"/>
    <w:rsid w:val="00720F0B"/>
    <w:rsid w:val="0072113B"/>
    <w:rsid w:val="00725A2E"/>
    <w:rsid w:val="0072665D"/>
    <w:rsid w:val="00746E3C"/>
    <w:rsid w:val="007532E8"/>
    <w:rsid w:val="007643BA"/>
    <w:rsid w:val="00774299"/>
    <w:rsid w:val="007753AF"/>
    <w:rsid w:val="00785BA2"/>
    <w:rsid w:val="00786585"/>
    <w:rsid w:val="00791EB2"/>
    <w:rsid w:val="007A4D27"/>
    <w:rsid w:val="007C1892"/>
    <w:rsid w:val="007C1D7C"/>
    <w:rsid w:val="007D1208"/>
    <w:rsid w:val="007E7655"/>
    <w:rsid w:val="007E77E2"/>
    <w:rsid w:val="007E7ADC"/>
    <w:rsid w:val="007F0DC6"/>
    <w:rsid w:val="00802D6E"/>
    <w:rsid w:val="00811B51"/>
    <w:rsid w:val="00811D2D"/>
    <w:rsid w:val="008146F1"/>
    <w:rsid w:val="00823760"/>
    <w:rsid w:val="00826BE0"/>
    <w:rsid w:val="00827209"/>
    <w:rsid w:val="00832527"/>
    <w:rsid w:val="00833AD2"/>
    <w:rsid w:val="008411AF"/>
    <w:rsid w:val="00842E61"/>
    <w:rsid w:val="0085201B"/>
    <w:rsid w:val="00854AB5"/>
    <w:rsid w:val="008569F5"/>
    <w:rsid w:val="00857598"/>
    <w:rsid w:val="00862FA8"/>
    <w:rsid w:val="008663C5"/>
    <w:rsid w:val="008824D7"/>
    <w:rsid w:val="00883090"/>
    <w:rsid w:val="008A14B6"/>
    <w:rsid w:val="008A2BA0"/>
    <w:rsid w:val="008A4D7D"/>
    <w:rsid w:val="008A6913"/>
    <w:rsid w:val="008B0B6F"/>
    <w:rsid w:val="008B4979"/>
    <w:rsid w:val="008B50E4"/>
    <w:rsid w:val="008B74AB"/>
    <w:rsid w:val="008C3DBF"/>
    <w:rsid w:val="008D3293"/>
    <w:rsid w:val="008E3AF3"/>
    <w:rsid w:val="008E46E0"/>
    <w:rsid w:val="008F09A9"/>
    <w:rsid w:val="008F4606"/>
    <w:rsid w:val="008F7A4B"/>
    <w:rsid w:val="008F7E62"/>
    <w:rsid w:val="00901C5A"/>
    <w:rsid w:val="00903549"/>
    <w:rsid w:val="00903ED2"/>
    <w:rsid w:val="00903F73"/>
    <w:rsid w:val="00906D85"/>
    <w:rsid w:val="00917028"/>
    <w:rsid w:val="0091786C"/>
    <w:rsid w:val="00924856"/>
    <w:rsid w:val="00927DFD"/>
    <w:rsid w:val="0093397C"/>
    <w:rsid w:val="00933D5C"/>
    <w:rsid w:val="009418DE"/>
    <w:rsid w:val="0095138F"/>
    <w:rsid w:val="009715A1"/>
    <w:rsid w:val="00980AA9"/>
    <w:rsid w:val="00980AEF"/>
    <w:rsid w:val="00985669"/>
    <w:rsid w:val="00985E0F"/>
    <w:rsid w:val="0098679D"/>
    <w:rsid w:val="00986DBE"/>
    <w:rsid w:val="00991DB0"/>
    <w:rsid w:val="00995647"/>
    <w:rsid w:val="009A3B76"/>
    <w:rsid w:val="009A6040"/>
    <w:rsid w:val="009A6755"/>
    <w:rsid w:val="009A7134"/>
    <w:rsid w:val="009B4A5B"/>
    <w:rsid w:val="009C45A7"/>
    <w:rsid w:val="009C48DA"/>
    <w:rsid w:val="009D1685"/>
    <w:rsid w:val="009E35DE"/>
    <w:rsid w:val="009E52C0"/>
    <w:rsid w:val="009E5D44"/>
    <w:rsid w:val="009F7F6B"/>
    <w:rsid w:val="009F7FF4"/>
    <w:rsid w:val="00A001D6"/>
    <w:rsid w:val="00A06D24"/>
    <w:rsid w:val="00A07816"/>
    <w:rsid w:val="00A16882"/>
    <w:rsid w:val="00A16AFB"/>
    <w:rsid w:val="00A16BD7"/>
    <w:rsid w:val="00A24D70"/>
    <w:rsid w:val="00A26226"/>
    <w:rsid w:val="00A31BD5"/>
    <w:rsid w:val="00A33085"/>
    <w:rsid w:val="00A3439E"/>
    <w:rsid w:val="00A37118"/>
    <w:rsid w:val="00A40933"/>
    <w:rsid w:val="00A4726E"/>
    <w:rsid w:val="00A5283E"/>
    <w:rsid w:val="00A61C61"/>
    <w:rsid w:val="00A644D8"/>
    <w:rsid w:val="00A648D1"/>
    <w:rsid w:val="00A64D7A"/>
    <w:rsid w:val="00A67C52"/>
    <w:rsid w:val="00A77912"/>
    <w:rsid w:val="00A93005"/>
    <w:rsid w:val="00A97D92"/>
    <w:rsid w:val="00AA2DDC"/>
    <w:rsid w:val="00AA51C3"/>
    <w:rsid w:val="00AB2490"/>
    <w:rsid w:val="00AC59BF"/>
    <w:rsid w:val="00AC637E"/>
    <w:rsid w:val="00AD7CE7"/>
    <w:rsid w:val="00AE0274"/>
    <w:rsid w:val="00AE1927"/>
    <w:rsid w:val="00AF3843"/>
    <w:rsid w:val="00B03893"/>
    <w:rsid w:val="00B04939"/>
    <w:rsid w:val="00B14824"/>
    <w:rsid w:val="00B3068F"/>
    <w:rsid w:val="00B36967"/>
    <w:rsid w:val="00B5327D"/>
    <w:rsid w:val="00B63EF3"/>
    <w:rsid w:val="00B71B78"/>
    <w:rsid w:val="00B820C6"/>
    <w:rsid w:val="00B836A0"/>
    <w:rsid w:val="00B913B2"/>
    <w:rsid w:val="00B9345E"/>
    <w:rsid w:val="00B971FD"/>
    <w:rsid w:val="00BB42DB"/>
    <w:rsid w:val="00BC3045"/>
    <w:rsid w:val="00BC3E4D"/>
    <w:rsid w:val="00BE2612"/>
    <w:rsid w:val="00BE4417"/>
    <w:rsid w:val="00BE654A"/>
    <w:rsid w:val="00BF2A35"/>
    <w:rsid w:val="00BF52E4"/>
    <w:rsid w:val="00C02185"/>
    <w:rsid w:val="00C033F2"/>
    <w:rsid w:val="00C04CA9"/>
    <w:rsid w:val="00C04DB0"/>
    <w:rsid w:val="00C05696"/>
    <w:rsid w:val="00C06C81"/>
    <w:rsid w:val="00C111A2"/>
    <w:rsid w:val="00C16794"/>
    <w:rsid w:val="00C253EF"/>
    <w:rsid w:val="00C32174"/>
    <w:rsid w:val="00C40F95"/>
    <w:rsid w:val="00C417CC"/>
    <w:rsid w:val="00C44D6F"/>
    <w:rsid w:val="00C61B88"/>
    <w:rsid w:val="00C61F00"/>
    <w:rsid w:val="00C729A3"/>
    <w:rsid w:val="00C73CE6"/>
    <w:rsid w:val="00C87716"/>
    <w:rsid w:val="00CA609F"/>
    <w:rsid w:val="00CA7C10"/>
    <w:rsid w:val="00CB0BD1"/>
    <w:rsid w:val="00CB2292"/>
    <w:rsid w:val="00CB2557"/>
    <w:rsid w:val="00CB2617"/>
    <w:rsid w:val="00CC624B"/>
    <w:rsid w:val="00CC6A85"/>
    <w:rsid w:val="00CD6F7E"/>
    <w:rsid w:val="00CD7F7E"/>
    <w:rsid w:val="00CE5ADE"/>
    <w:rsid w:val="00CE73E6"/>
    <w:rsid w:val="00D01489"/>
    <w:rsid w:val="00D01536"/>
    <w:rsid w:val="00D0358E"/>
    <w:rsid w:val="00D0536D"/>
    <w:rsid w:val="00D12B1C"/>
    <w:rsid w:val="00D1635E"/>
    <w:rsid w:val="00D22D97"/>
    <w:rsid w:val="00D4681A"/>
    <w:rsid w:val="00D50075"/>
    <w:rsid w:val="00D539B4"/>
    <w:rsid w:val="00D53A8E"/>
    <w:rsid w:val="00D53FCA"/>
    <w:rsid w:val="00D6023F"/>
    <w:rsid w:val="00D65A47"/>
    <w:rsid w:val="00D669BF"/>
    <w:rsid w:val="00D710A5"/>
    <w:rsid w:val="00D73EFE"/>
    <w:rsid w:val="00D93745"/>
    <w:rsid w:val="00D969CF"/>
    <w:rsid w:val="00DB35CB"/>
    <w:rsid w:val="00DB37F7"/>
    <w:rsid w:val="00DB7B0F"/>
    <w:rsid w:val="00DC79F6"/>
    <w:rsid w:val="00E161EA"/>
    <w:rsid w:val="00E265D1"/>
    <w:rsid w:val="00E26829"/>
    <w:rsid w:val="00E2771D"/>
    <w:rsid w:val="00E33A47"/>
    <w:rsid w:val="00E364E2"/>
    <w:rsid w:val="00E408CB"/>
    <w:rsid w:val="00E40B2D"/>
    <w:rsid w:val="00E41062"/>
    <w:rsid w:val="00E430F5"/>
    <w:rsid w:val="00E473CF"/>
    <w:rsid w:val="00E56E9E"/>
    <w:rsid w:val="00E714B3"/>
    <w:rsid w:val="00E760D8"/>
    <w:rsid w:val="00E82D34"/>
    <w:rsid w:val="00EA08A9"/>
    <w:rsid w:val="00EA29A2"/>
    <w:rsid w:val="00EB368F"/>
    <w:rsid w:val="00EB76C5"/>
    <w:rsid w:val="00EC50AA"/>
    <w:rsid w:val="00EC6046"/>
    <w:rsid w:val="00ED15C3"/>
    <w:rsid w:val="00EE307D"/>
    <w:rsid w:val="00EE5253"/>
    <w:rsid w:val="00EE5A85"/>
    <w:rsid w:val="00EE699E"/>
    <w:rsid w:val="00EF0225"/>
    <w:rsid w:val="00EF4FAC"/>
    <w:rsid w:val="00EF7719"/>
    <w:rsid w:val="00EF7D03"/>
    <w:rsid w:val="00F007B7"/>
    <w:rsid w:val="00F069E6"/>
    <w:rsid w:val="00F07F39"/>
    <w:rsid w:val="00F07FD0"/>
    <w:rsid w:val="00F1470B"/>
    <w:rsid w:val="00F27883"/>
    <w:rsid w:val="00F27F06"/>
    <w:rsid w:val="00F346D8"/>
    <w:rsid w:val="00F37C34"/>
    <w:rsid w:val="00F37DA3"/>
    <w:rsid w:val="00F43255"/>
    <w:rsid w:val="00F627F7"/>
    <w:rsid w:val="00F63911"/>
    <w:rsid w:val="00F639D3"/>
    <w:rsid w:val="00F64403"/>
    <w:rsid w:val="00F662DF"/>
    <w:rsid w:val="00F6738C"/>
    <w:rsid w:val="00F826D8"/>
    <w:rsid w:val="00F95762"/>
    <w:rsid w:val="00F961E0"/>
    <w:rsid w:val="00F96466"/>
    <w:rsid w:val="00FA4831"/>
    <w:rsid w:val="00FB09FD"/>
    <w:rsid w:val="00FC34C1"/>
    <w:rsid w:val="00FD1E62"/>
    <w:rsid w:val="00FD3DB7"/>
    <w:rsid w:val="00FE09E5"/>
    <w:rsid w:val="00FE347D"/>
    <w:rsid w:val="00FE4399"/>
    <w:rsid w:val="00FF1138"/>
    <w:rsid w:val="00FF3F70"/>
    <w:rsid w:val="00FF6148"/>
  </w:rsids>
  <m:mathPr>
    <m:mathFont m:val="Cambria Math"/>
    <m:brkBin m:val="before"/>
    <m:brkBinSub m:val="--"/>
    <m:smallFrac/>
    <m:dispDef/>
    <m:lMargin m:val="0"/>
    <m:rMargin m:val="0"/>
    <m:defJc m:val="centerGroup"/>
    <m:wrapIndent m:val="1440"/>
    <m:intLim m:val="subSup"/>
    <m:naryLim m:val="undOvr"/>
  </m:mathPr>
  <w:themeFontLang w:val="sr-Latn-C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0D7D0D"/>
  <w15:docId w15:val="{4CE48CC2-EDD9-4510-8048-A3A8182BE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07816"/>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qFormat/>
    <w:rsid w:val="00EF7719"/>
    <w:pPr>
      <w:numPr>
        <w:ilvl w:val="1"/>
        <w:numId w:val="1"/>
      </w:numPr>
      <w:outlineLvl w:val="1"/>
    </w:pPr>
    <w:rPr>
      <w:b/>
      <w:sz w:val="24"/>
      <w:szCs w:val="24"/>
    </w:rPr>
  </w:style>
  <w:style w:type="paragraph" w:styleId="Heading3">
    <w:name w:val="heading 3"/>
    <w:basedOn w:val="Normal"/>
    <w:next w:val="Normal"/>
    <w:link w:val="Heading3Char"/>
    <w:uiPriority w:val="9"/>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A97D92"/>
    <w:pPr>
      <w:tabs>
        <w:tab w:val="center" w:pos="4536"/>
        <w:tab w:val="right" w:pos="9072"/>
      </w:tabs>
    </w:pPr>
  </w:style>
  <w:style w:type="character" w:customStyle="1" w:styleId="HeaderChar">
    <w:name w:val="Header Char"/>
    <w:link w:val="Header"/>
    <w:uiPriority w:val="99"/>
    <w:rsid w:val="00A97D92"/>
    <w:rPr>
      <w:sz w:val="22"/>
      <w:szCs w:val="22"/>
      <w:lang w:val="en-US" w:eastAsia="en-US"/>
    </w:rPr>
  </w:style>
  <w:style w:type="paragraph" w:styleId="Footer">
    <w:name w:val="footer"/>
    <w:basedOn w:val="Normal"/>
    <w:link w:val="FooterChar"/>
    <w:uiPriority w:val="99"/>
    <w:unhideWhenUsed/>
    <w:rsid w:val="00A97D92"/>
    <w:pPr>
      <w:tabs>
        <w:tab w:val="center" w:pos="4536"/>
        <w:tab w:val="right" w:pos="9072"/>
      </w:tabs>
    </w:pPr>
  </w:style>
  <w:style w:type="character" w:customStyle="1" w:styleId="FooterChar">
    <w:name w:val="Footer Char"/>
    <w:link w:val="Footer"/>
    <w:uiPriority w:val="99"/>
    <w:rsid w:val="00A97D92"/>
    <w:rPr>
      <w:sz w:val="22"/>
      <w:szCs w:val="22"/>
      <w:lang w:val="en-US" w:eastAsia="en-US"/>
    </w:rPr>
  </w:style>
  <w:style w:type="character" w:styleId="Hyperlink">
    <w:name w:val="Hyperlink"/>
    <w:uiPriority w:val="99"/>
    <w:unhideWhenUsed/>
    <w:rsid w:val="00F961E0"/>
    <w:rPr>
      <w:color w:val="0000FF"/>
      <w:u w:val="single"/>
    </w:rPr>
  </w:style>
  <w:style w:type="character" w:customStyle="1" w:styleId="Heading1Char">
    <w:name w:val="Heading 1 Char"/>
    <w:link w:val="Heading1"/>
    <w:uiPriority w:val="9"/>
    <w:rsid w:val="00DB37F7"/>
    <w:rPr>
      <w:b/>
      <w:sz w:val="28"/>
      <w:szCs w:val="28"/>
      <w:lang w:eastAsia="en-US"/>
    </w:rPr>
  </w:style>
  <w:style w:type="character" w:styleId="CommentReference">
    <w:name w:val="annotation reference"/>
    <w:uiPriority w:val="99"/>
    <w:unhideWhenUsed/>
    <w:rsid w:val="00A97D92"/>
    <w:rPr>
      <w:sz w:val="16"/>
      <w:szCs w:val="16"/>
      <w:lang w:val="en-US"/>
    </w:rPr>
  </w:style>
  <w:style w:type="paragraph" w:styleId="CommentText">
    <w:name w:val="annotation text"/>
    <w:basedOn w:val="Normal"/>
    <w:link w:val="CommentTextChar"/>
    <w:uiPriority w:val="99"/>
    <w:unhideWhenUsed/>
    <w:rsid w:val="00A97D92"/>
    <w:rPr>
      <w:sz w:val="20"/>
      <w:szCs w:val="20"/>
    </w:rPr>
  </w:style>
  <w:style w:type="character" w:customStyle="1" w:styleId="CommentTextChar">
    <w:name w:val="Comment Text Char"/>
    <w:link w:val="CommentText"/>
    <w:uiPriority w:val="99"/>
    <w:rsid w:val="00A97D92"/>
    <w:rPr>
      <w:lang w:val="en-US" w:eastAsia="en-US"/>
    </w:rPr>
  </w:style>
  <w:style w:type="paragraph" w:styleId="CommentSubject">
    <w:name w:val="annotation subject"/>
    <w:basedOn w:val="CommentText"/>
    <w:next w:val="CommentText"/>
    <w:link w:val="CommentSubjectChar"/>
    <w:uiPriority w:val="99"/>
    <w:semiHidden/>
    <w:unhideWhenUsed/>
    <w:rsid w:val="00991DB0"/>
    <w:rPr>
      <w:b/>
      <w:bCs/>
    </w:rPr>
  </w:style>
  <w:style w:type="character" w:customStyle="1" w:styleId="CommentSubjectChar">
    <w:name w:val="Comment Subject Char"/>
    <w:link w:val="CommentSubject"/>
    <w:uiPriority w:val="99"/>
    <w:semiHidden/>
    <w:rsid w:val="00991DB0"/>
    <w:rPr>
      <w:b/>
      <w:bCs/>
      <w:lang w:val="en-US"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eastAsia="en-US"/>
    </w:rPr>
  </w:style>
  <w:style w:type="character" w:customStyle="1" w:styleId="Heading2Char">
    <w:name w:val="Heading 2 Char"/>
    <w:link w:val="Heading2"/>
    <w:uiPriority w:val="9"/>
    <w:rsid w:val="00EF7719"/>
    <w:rPr>
      <w:b/>
      <w:sz w:val="24"/>
      <w:szCs w:val="24"/>
      <w:lang w:eastAsia="en-US"/>
    </w:rPr>
  </w:style>
  <w:style w:type="character" w:customStyle="1" w:styleId="Heading3Char">
    <w:name w:val="Heading 3 Char"/>
    <w:link w:val="Heading3"/>
    <w:uiPriority w:val="9"/>
    <w:rsid w:val="00C73CE6"/>
    <w:rPr>
      <w:b/>
      <w:i/>
      <w:sz w:val="22"/>
      <w:szCs w:val="22"/>
      <w:lang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4D7B7E"/>
    <w:rPr>
      <w:sz w:val="22"/>
      <w:szCs w:val="22"/>
      <w:lang w:eastAsia="en-US"/>
    </w:rPr>
  </w:style>
  <w:style w:type="paragraph" w:styleId="ListParagraph">
    <w:name w:val="List Paragraph"/>
    <w:basedOn w:val="Normal"/>
    <w:uiPriority w:val="34"/>
    <w:qFormat/>
    <w:rsid w:val="00A16882"/>
    <w:pPr>
      <w:ind w:left="720"/>
      <w:contextualSpacing/>
    </w:pPr>
  </w:style>
  <w:style w:type="character" w:customStyle="1" w:styleId="hps">
    <w:name w:val="hps"/>
    <w:basedOn w:val="DefaultParagraphFont"/>
    <w:rsid w:val="001F0409"/>
  </w:style>
  <w:style w:type="paragraph" w:styleId="NoSpacing">
    <w:name w:val="No Spacing"/>
    <w:uiPriority w:val="1"/>
    <w:qFormat/>
    <w:rsid w:val="0052610B"/>
    <w:rPr>
      <w:rFonts w:eastAsia="Times New Roman"/>
      <w:sz w:val="22"/>
      <w:szCs w:val="22"/>
      <w:lang w:val="en-US" w:eastAsia="en-US"/>
    </w:rPr>
  </w:style>
  <w:style w:type="paragraph" w:styleId="BodyText">
    <w:name w:val="Body Text"/>
    <w:basedOn w:val="Normal"/>
    <w:link w:val="BodyTextChar"/>
    <w:uiPriority w:val="1"/>
    <w:qFormat/>
    <w:rsid w:val="001808FF"/>
    <w:pPr>
      <w:widowControl w:val="0"/>
      <w:autoSpaceDE w:val="0"/>
      <w:autoSpaceDN w:val="0"/>
      <w:spacing w:after="0" w:line="240" w:lineRule="auto"/>
    </w:pPr>
    <w:rPr>
      <w:rFonts w:cs="Calibri"/>
      <w:sz w:val="21"/>
      <w:szCs w:val="21"/>
    </w:rPr>
  </w:style>
  <w:style w:type="character" w:customStyle="1" w:styleId="BodyTextChar">
    <w:name w:val="Body Text Char"/>
    <w:basedOn w:val="DefaultParagraphFont"/>
    <w:link w:val="BodyText"/>
    <w:uiPriority w:val="1"/>
    <w:rsid w:val="001808FF"/>
    <w:rPr>
      <w:rFonts w:cs="Calibri"/>
      <w:sz w:val="21"/>
      <w:szCs w:val="21"/>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6540973">
      <w:bodyDiv w:val="1"/>
      <w:marLeft w:val="0"/>
      <w:marRight w:val="0"/>
      <w:marTop w:val="0"/>
      <w:marBottom w:val="0"/>
      <w:divBdr>
        <w:top w:val="none" w:sz="0" w:space="0" w:color="auto"/>
        <w:left w:val="none" w:sz="0" w:space="0" w:color="auto"/>
        <w:bottom w:val="none" w:sz="0" w:space="0" w:color="auto"/>
        <w:right w:val="none" w:sz="0" w:space="0" w:color="auto"/>
      </w:divBdr>
    </w:div>
    <w:div w:id="1320117402">
      <w:bodyDiv w:val="1"/>
      <w:marLeft w:val="0"/>
      <w:marRight w:val="0"/>
      <w:marTop w:val="0"/>
      <w:marBottom w:val="0"/>
      <w:divBdr>
        <w:top w:val="none" w:sz="0" w:space="0" w:color="auto"/>
        <w:left w:val="none" w:sz="0" w:space="0" w:color="auto"/>
        <w:bottom w:val="none" w:sz="0" w:space="0" w:color="auto"/>
        <w:right w:val="none" w:sz="0" w:space="0" w:color="auto"/>
      </w:divBdr>
    </w:div>
    <w:div w:id="1766613324">
      <w:bodyDiv w:val="1"/>
      <w:marLeft w:val="0"/>
      <w:marRight w:val="0"/>
      <w:marTop w:val="0"/>
      <w:marBottom w:val="0"/>
      <w:divBdr>
        <w:top w:val="none" w:sz="0" w:space="0" w:color="auto"/>
        <w:left w:val="none" w:sz="0" w:space="0" w:color="auto"/>
        <w:bottom w:val="none" w:sz="0" w:space="0" w:color="auto"/>
        <w:right w:val="none" w:sz="0" w:space="0" w:color="auto"/>
      </w:divBdr>
    </w:div>
    <w:div w:id="1922761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shop.advisera.com/order/checkout.php?PRODS=43070565&amp;QTY=1&amp;CART=1&amp;CARD=1&amp;SHORT_FORM=1?utm_source=toolkit-document-preview&amp;utm_medium=downloaded-content&amp;utm_campaign=eu-mdr-templates&amp;utm_term=toolkit-with-power-support&amp;utm_content=lang-en"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3070530&amp;QTY=1&amp;CART=1&amp;CARD=1&amp;SHORT_FORM=1?utm_source=toolkit-document-preview&amp;utm_medium=downloaded-content&amp;utm_campaign=eu-mdr-templates&amp;utm_term=toolkit-with-extended-support&amp;utm_content=lang-e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3070390&amp;QTY=1&amp;CART=1&amp;CARD=1&amp;SHORT_FORM=1?utm_source=toolkit-document-preview&amp;utm_medium=downloaded-content&amp;utm_campaign=eu-mdr-templates&amp;utm_term=toolkit-with-expert-support&amp;utm_content=lang-en" TargetMode="Externa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6/09/relationships/commentsIds" Target="commentsIds.xm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1F885B-51B5-4A44-BA76-BC6D09D8E1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897</Words>
  <Characters>5118</Characters>
  <Application>Microsoft Office Word</Application>
  <DocSecurity>0</DocSecurity>
  <Lines>42</Lines>
  <Paragraphs>12</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Appendix 3 – Periodic Safety Update Report (PSUR)</vt:lpstr>
      <vt:lpstr>Blank template</vt:lpstr>
      <vt:lpstr>Blank template</vt:lpstr>
    </vt:vector>
  </TitlesOfParts>
  <Company>[company name]</Company>
  <LinksUpToDate>false</LinksUpToDate>
  <CharactersWithSpaces>6003</CharactersWithSpaces>
  <SharedDoc>false</SharedDoc>
  <HLinks>
    <vt:vector size="78" baseType="variant">
      <vt:variant>
        <vt:i4>1114168</vt:i4>
      </vt:variant>
      <vt:variant>
        <vt:i4>74</vt:i4>
      </vt:variant>
      <vt:variant>
        <vt:i4>0</vt:i4>
      </vt:variant>
      <vt:variant>
        <vt:i4>5</vt:i4>
      </vt:variant>
      <vt:variant>
        <vt:lpwstr/>
      </vt:variant>
      <vt:variant>
        <vt:lpwstr>_Toc267294466</vt:lpwstr>
      </vt:variant>
      <vt:variant>
        <vt:i4>1114168</vt:i4>
      </vt:variant>
      <vt:variant>
        <vt:i4>68</vt:i4>
      </vt:variant>
      <vt:variant>
        <vt:i4>0</vt:i4>
      </vt:variant>
      <vt:variant>
        <vt:i4>5</vt:i4>
      </vt:variant>
      <vt:variant>
        <vt:lpwstr/>
      </vt:variant>
      <vt:variant>
        <vt:lpwstr>_Toc267294465</vt:lpwstr>
      </vt:variant>
      <vt:variant>
        <vt:i4>1114168</vt:i4>
      </vt:variant>
      <vt:variant>
        <vt:i4>62</vt:i4>
      </vt:variant>
      <vt:variant>
        <vt:i4>0</vt:i4>
      </vt:variant>
      <vt:variant>
        <vt:i4>5</vt:i4>
      </vt:variant>
      <vt:variant>
        <vt:lpwstr/>
      </vt:variant>
      <vt:variant>
        <vt:lpwstr>_Toc267294464</vt:lpwstr>
      </vt:variant>
      <vt:variant>
        <vt:i4>1114168</vt:i4>
      </vt:variant>
      <vt:variant>
        <vt:i4>56</vt:i4>
      </vt:variant>
      <vt:variant>
        <vt:i4>0</vt:i4>
      </vt:variant>
      <vt:variant>
        <vt:i4>5</vt:i4>
      </vt:variant>
      <vt:variant>
        <vt:lpwstr/>
      </vt:variant>
      <vt:variant>
        <vt:lpwstr>_Toc267294463</vt:lpwstr>
      </vt:variant>
      <vt:variant>
        <vt:i4>1114168</vt:i4>
      </vt:variant>
      <vt:variant>
        <vt:i4>50</vt:i4>
      </vt:variant>
      <vt:variant>
        <vt:i4>0</vt:i4>
      </vt:variant>
      <vt:variant>
        <vt:i4>5</vt:i4>
      </vt:variant>
      <vt:variant>
        <vt:lpwstr/>
      </vt:variant>
      <vt:variant>
        <vt:lpwstr>_Toc267294462</vt:lpwstr>
      </vt:variant>
      <vt:variant>
        <vt:i4>1114168</vt:i4>
      </vt:variant>
      <vt:variant>
        <vt:i4>44</vt:i4>
      </vt:variant>
      <vt:variant>
        <vt:i4>0</vt:i4>
      </vt:variant>
      <vt:variant>
        <vt:i4>5</vt:i4>
      </vt:variant>
      <vt:variant>
        <vt:lpwstr/>
      </vt:variant>
      <vt:variant>
        <vt:lpwstr>_Toc267294461</vt:lpwstr>
      </vt:variant>
      <vt:variant>
        <vt:i4>1114168</vt:i4>
      </vt:variant>
      <vt:variant>
        <vt:i4>38</vt:i4>
      </vt:variant>
      <vt:variant>
        <vt:i4>0</vt:i4>
      </vt:variant>
      <vt:variant>
        <vt:i4>5</vt:i4>
      </vt:variant>
      <vt:variant>
        <vt:lpwstr/>
      </vt:variant>
      <vt:variant>
        <vt:lpwstr>_Toc267294460</vt:lpwstr>
      </vt:variant>
      <vt:variant>
        <vt:i4>1179704</vt:i4>
      </vt:variant>
      <vt:variant>
        <vt:i4>32</vt:i4>
      </vt:variant>
      <vt:variant>
        <vt:i4>0</vt:i4>
      </vt:variant>
      <vt:variant>
        <vt:i4>5</vt:i4>
      </vt:variant>
      <vt:variant>
        <vt:lpwstr/>
      </vt:variant>
      <vt:variant>
        <vt:lpwstr>_Toc267294459</vt:lpwstr>
      </vt:variant>
      <vt:variant>
        <vt:i4>1179704</vt:i4>
      </vt:variant>
      <vt:variant>
        <vt:i4>26</vt:i4>
      </vt:variant>
      <vt:variant>
        <vt:i4>0</vt:i4>
      </vt:variant>
      <vt:variant>
        <vt:i4>5</vt:i4>
      </vt:variant>
      <vt:variant>
        <vt:lpwstr/>
      </vt:variant>
      <vt:variant>
        <vt:lpwstr>_Toc267294458</vt:lpwstr>
      </vt:variant>
      <vt:variant>
        <vt:i4>1179704</vt:i4>
      </vt:variant>
      <vt:variant>
        <vt:i4>20</vt:i4>
      </vt:variant>
      <vt:variant>
        <vt:i4>0</vt:i4>
      </vt:variant>
      <vt:variant>
        <vt:i4>5</vt:i4>
      </vt:variant>
      <vt:variant>
        <vt:lpwstr/>
      </vt:variant>
      <vt:variant>
        <vt:lpwstr>_Toc267294457</vt:lpwstr>
      </vt:variant>
      <vt:variant>
        <vt:i4>1179704</vt:i4>
      </vt:variant>
      <vt:variant>
        <vt:i4>14</vt:i4>
      </vt:variant>
      <vt:variant>
        <vt:i4>0</vt:i4>
      </vt:variant>
      <vt:variant>
        <vt:i4>5</vt:i4>
      </vt:variant>
      <vt:variant>
        <vt:lpwstr/>
      </vt:variant>
      <vt:variant>
        <vt:lpwstr>_Toc267294456</vt:lpwstr>
      </vt:variant>
      <vt:variant>
        <vt:i4>1179704</vt:i4>
      </vt:variant>
      <vt:variant>
        <vt:i4>8</vt:i4>
      </vt:variant>
      <vt:variant>
        <vt:i4>0</vt:i4>
      </vt:variant>
      <vt:variant>
        <vt:i4>5</vt:i4>
      </vt:variant>
      <vt:variant>
        <vt:lpwstr/>
      </vt:variant>
      <vt:variant>
        <vt:lpwstr>_Toc267294455</vt:lpwstr>
      </vt:variant>
      <vt:variant>
        <vt:i4>1179704</vt:i4>
      </vt:variant>
      <vt:variant>
        <vt:i4>2</vt:i4>
      </vt:variant>
      <vt:variant>
        <vt:i4>0</vt:i4>
      </vt:variant>
      <vt:variant>
        <vt:i4>5</vt:i4>
      </vt:variant>
      <vt:variant>
        <vt:lpwstr/>
      </vt:variant>
      <vt:variant>
        <vt:lpwstr>_Toc267294454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3 – Periodic Safety Update Report (PSUR)</dc:title>
  <dc:creator>Advisera</dc:creator>
  <dc:description>©2023 This template may be used by clients of Advisera Expert Solutions Ltd. www.advisera.com in accordance with the License Agreement.</dc:description>
  <cp:lastModifiedBy>Advisera</cp:lastModifiedBy>
  <cp:revision>6</cp:revision>
  <cp:lastPrinted>2023-10-16T14:42:00Z</cp:lastPrinted>
  <dcterms:created xsi:type="dcterms:W3CDTF">2023-10-17T12:35:00Z</dcterms:created>
  <dcterms:modified xsi:type="dcterms:W3CDTF">2023-12-08T22:14:00Z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326443630ff14fa4647ccf11f4bf25081a840441730965f98294b182c567f45b</vt:lpwstr>
  </property>
</Properties>
</file>