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6CF7C" w14:textId="77777777" w:rsidR="00BC1440" w:rsidRPr="00BC1440" w:rsidRDefault="00BC1440" w:rsidP="00BC1440">
      <w:pPr>
        <w:jc w:val="center"/>
        <w:rPr>
          <w:rFonts w:eastAsia="Times New Roman"/>
        </w:rPr>
      </w:pPr>
      <w:r w:rsidRPr="00BC1440">
        <w:rPr>
          <w:rFonts w:eastAsia="Times New Roman"/>
        </w:rPr>
        <w:t>** FREE PREVIEW VERSION **</w:t>
      </w:r>
    </w:p>
    <w:p w14:paraId="28C28F28" w14:textId="77777777" w:rsidR="00BC1440" w:rsidRPr="00BC1440" w:rsidRDefault="00BC1440" w:rsidP="00BC1440">
      <w:pPr>
        <w:jc w:val="center"/>
        <w:rPr>
          <w:rFonts w:eastAsia="Times New Roman"/>
        </w:rPr>
      </w:pPr>
      <w:r w:rsidRPr="00BC1440">
        <w:rPr>
          <w:rFonts w:eastAsia="Times New Roman"/>
        </w:rPr>
        <w:t>Thank you for downloading the free preview version of the EU MDR Documentation Toolkit.</w:t>
      </w:r>
    </w:p>
    <w:p w14:paraId="2B86FE13" w14:textId="77777777" w:rsidR="00927DFD" w:rsidRPr="00071835" w:rsidRDefault="00927DFD"/>
    <w:p w14:paraId="74CDFA03" w14:textId="77777777" w:rsidR="00AF3843" w:rsidRPr="00071835" w:rsidRDefault="00AF3843"/>
    <w:p w14:paraId="1CFD4080" w14:textId="77777777" w:rsidR="00AF3843" w:rsidRPr="00071835" w:rsidRDefault="00AF3843" w:rsidP="00AF3843">
      <w:pPr>
        <w:jc w:val="center"/>
      </w:pPr>
      <w:commentRangeStart w:id="0"/>
      <w:r w:rsidRPr="00071835">
        <w:t>[</w:t>
      </w:r>
      <w:r w:rsidR="00084A4D" w:rsidRPr="00071835">
        <w:t>Organization</w:t>
      </w:r>
      <w:r w:rsidR="00667EE3" w:rsidRPr="00071835">
        <w:t xml:space="preserve"> logo</w:t>
      </w:r>
      <w:r w:rsidRPr="00071835">
        <w:t>]</w:t>
      </w:r>
      <w:commentRangeEnd w:id="0"/>
      <w:r w:rsidR="00A97D92" w:rsidRPr="00071835">
        <w:rPr>
          <w:rStyle w:val="CommentReference"/>
        </w:rPr>
        <w:commentReference w:id="0"/>
      </w:r>
    </w:p>
    <w:p w14:paraId="3AA02845" w14:textId="77777777" w:rsidR="00AF3843" w:rsidRPr="00071835" w:rsidRDefault="00AF3843" w:rsidP="00AF3843">
      <w:pPr>
        <w:jc w:val="center"/>
      </w:pPr>
      <w:r w:rsidRPr="00071835">
        <w:t>[</w:t>
      </w:r>
      <w:r w:rsidR="00084A4D" w:rsidRPr="00071835">
        <w:t>Organization</w:t>
      </w:r>
      <w:r w:rsidR="00667EE3" w:rsidRPr="00071835">
        <w:t xml:space="preserve"> name</w:t>
      </w:r>
      <w:r w:rsidRPr="00071835">
        <w:t>]</w:t>
      </w:r>
    </w:p>
    <w:p w14:paraId="2D35BAA1" w14:textId="77777777" w:rsidR="00AF3843" w:rsidRPr="00071835" w:rsidRDefault="00AF3843" w:rsidP="00AF3843">
      <w:pPr>
        <w:jc w:val="center"/>
      </w:pPr>
    </w:p>
    <w:p w14:paraId="01458AFC" w14:textId="77777777" w:rsidR="00AF3843" w:rsidRPr="00071835" w:rsidRDefault="00AF3843" w:rsidP="00AF3843">
      <w:pPr>
        <w:jc w:val="center"/>
      </w:pPr>
    </w:p>
    <w:p w14:paraId="63F18683" w14:textId="3167F776" w:rsidR="00AF3843" w:rsidRPr="00071835" w:rsidRDefault="00591052" w:rsidP="00AF3843">
      <w:pPr>
        <w:jc w:val="center"/>
        <w:rPr>
          <w:b/>
          <w:sz w:val="32"/>
          <w:szCs w:val="32"/>
        </w:rPr>
      </w:pPr>
      <w:r w:rsidRPr="00071835">
        <w:rPr>
          <w:b/>
          <w:sz w:val="32"/>
        </w:rPr>
        <w:t>PROCEDURE FOR POST-MARKET SURVEILLANCE SYSTEM</w:t>
      </w:r>
    </w:p>
    <w:p w14:paraId="2913CA2B" w14:textId="77777777" w:rsidR="00A97D92" w:rsidRPr="00071835" w:rsidRDefault="00A97D92" w:rsidP="00A97D92">
      <w:pPr>
        <w:jc w:val="center"/>
        <w:rPr>
          <w:rFonts w:eastAsia="Times New Roman"/>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1"/>
        <w:gridCol w:w="6731"/>
      </w:tblGrid>
      <w:tr w:rsidR="00A97D92" w:rsidRPr="00071835" w14:paraId="393E1A53" w14:textId="77777777" w:rsidTr="003616AA">
        <w:tc>
          <w:tcPr>
            <w:tcW w:w="2376" w:type="dxa"/>
            <w:tcMar>
              <w:top w:w="115" w:type="dxa"/>
              <w:left w:w="115" w:type="dxa"/>
              <w:bottom w:w="115" w:type="dxa"/>
              <w:right w:w="115" w:type="dxa"/>
            </w:tcMar>
          </w:tcPr>
          <w:p w14:paraId="773F9D33" w14:textId="77777777" w:rsidR="00A97D92" w:rsidRPr="00071835" w:rsidRDefault="00A97D92" w:rsidP="00A97D92">
            <w:pPr>
              <w:spacing w:after="0" w:line="240" w:lineRule="auto"/>
              <w:rPr>
                <w:rFonts w:eastAsia="Times New Roman"/>
              </w:rPr>
            </w:pPr>
            <w:commentRangeStart w:id="1"/>
            <w:r w:rsidRPr="00071835">
              <w:rPr>
                <w:rFonts w:eastAsia="Times New Roman"/>
              </w:rPr>
              <w:t>Code:</w:t>
            </w:r>
            <w:commentRangeEnd w:id="1"/>
            <w:r w:rsidRPr="00071835">
              <w:rPr>
                <w:rFonts w:eastAsia="Times New Roman"/>
                <w:sz w:val="16"/>
                <w:szCs w:val="16"/>
              </w:rPr>
              <w:commentReference w:id="1"/>
            </w:r>
          </w:p>
        </w:tc>
        <w:tc>
          <w:tcPr>
            <w:tcW w:w="6912" w:type="dxa"/>
            <w:tcMar>
              <w:top w:w="115" w:type="dxa"/>
              <w:left w:w="115" w:type="dxa"/>
              <w:bottom w:w="115" w:type="dxa"/>
              <w:right w:w="115" w:type="dxa"/>
            </w:tcMar>
          </w:tcPr>
          <w:p w14:paraId="5E7E959A" w14:textId="77777777" w:rsidR="00A97D92" w:rsidRPr="00071835" w:rsidRDefault="00A97D92" w:rsidP="00A97D92">
            <w:pPr>
              <w:spacing w:after="0" w:line="240" w:lineRule="auto"/>
              <w:rPr>
                <w:rFonts w:eastAsia="Times New Roman"/>
              </w:rPr>
            </w:pPr>
          </w:p>
        </w:tc>
      </w:tr>
      <w:tr w:rsidR="00A97D92" w:rsidRPr="00071835" w14:paraId="0783CCC1" w14:textId="77777777" w:rsidTr="003616AA">
        <w:tc>
          <w:tcPr>
            <w:tcW w:w="2376" w:type="dxa"/>
            <w:tcMar>
              <w:top w:w="115" w:type="dxa"/>
              <w:left w:w="115" w:type="dxa"/>
              <w:bottom w:w="115" w:type="dxa"/>
              <w:right w:w="115" w:type="dxa"/>
            </w:tcMar>
          </w:tcPr>
          <w:p w14:paraId="1E84B2C7" w14:textId="77777777" w:rsidR="00A97D92" w:rsidRPr="00071835" w:rsidRDefault="00A97D92" w:rsidP="00A97D92">
            <w:pPr>
              <w:spacing w:after="0" w:line="240" w:lineRule="auto"/>
              <w:rPr>
                <w:rFonts w:eastAsia="Times New Roman"/>
              </w:rPr>
            </w:pPr>
            <w:r w:rsidRPr="00071835">
              <w:rPr>
                <w:rFonts w:eastAsia="Times New Roman"/>
              </w:rPr>
              <w:t>Version:</w:t>
            </w:r>
          </w:p>
        </w:tc>
        <w:tc>
          <w:tcPr>
            <w:tcW w:w="6912" w:type="dxa"/>
            <w:tcMar>
              <w:top w:w="115" w:type="dxa"/>
              <w:left w:w="115" w:type="dxa"/>
              <w:bottom w:w="115" w:type="dxa"/>
              <w:right w:w="115" w:type="dxa"/>
            </w:tcMar>
          </w:tcPr>
          <w:p w14:paraId="63CB40DA" w14:textId="77777777" w:rsidR="00A97D92" w:rsidRPr="00071835" w:rsidRDefault="00A97D92" w:rsidP="00A97D92">
            <w:pPr>
              <w:spacing w:after="0" w:line="240" w:lineRule="auto"/>
              <w:rPr>
                <w:rFonts w:eastAsia="Times New Roman"/>
              </w:rPr>
            </w:pPr>
            <w:r w:rsidRPr="00071835">
              <w:rPr>
                <w:rFonts w:eastAsia="Times New Roman"/>
              </w:rPr>
              <w:t>0.1</w:t>
            </w:r>
          </w:p>
        </w:tc>
      </w:tr>
      <w:tr w:rsidR="00A97D92" w:rsidRPr="00071835" w14:paraId="13CE61AA" w14:textId="77777777" w:rsidTr="003616AA">
        <w:tc>
          <w:tcPr>
            <w:tcW w:w="2376" w:type="dxa"/>
            <w:tcMar>
              <w:top w:w="115" w:type="dxa"/>
              <w:left w:w="115" w:type="dxa"/>
              <w:bottom w:w="115" w:type="dxa"/>
              <w:right w:w="115" w:type="dxa"/>
            </w:tcMar>
          </w:tcPr>
          <w:p w14:paraId="6652CE9E" w14:textId="77777777" w:rsidR="00A97D92" w:rsidRPr="00071835" w:rsidRDefault="00A97D92" w:rsidP="00A97D92">
            <w:pPr>
              <w:spacing w:after="0" w:line="240" w:lineRule="auto"/>
              <w:rPr>
                <w:rFonts w:eastAsia="Times New Roman"/>
              </w:rPr>
            </w:pPr>
            <w:r w:rsidRPr="00071835">
              <w:rPr>
                <w:rFonts w:eastAsia="Times New Roman"/>
              </w:rPr>
              <w:t>Created by:</w:t>
            </w:r>
          </w:p>
        </w:tc>
        <w:tc>
          <w:tcPr>
            <w:tcW w:w="6912" w:type="dxa"/>
            <w:tcMar>
              <w:top w:w="115" w:type="dxa"/>
              <w:left w:w="115" w:type="dxa"/>
              <w:bottom w:w="115" w:type="dxa"/>
              <w:right w:w="115" w:type="dxa"/>
            </w:tcMar>
          </w:tcPr>
          <w:p w14:paraId="11CD80AF" w14:textId="77777777" w:rsidR="00A97D92" w:rsidRPr="00071835" w:rsidRDefault="00A97D92" w:rsidP="00A97D92">
            <w:pPr>
              <w:spacing w:after="0" w:line="240" w:lineRule="auto"/>
              <w:rPr>
                <w:rFonts w:eastAsia="Times New Roman"/>
              </w:rPr>
            </w:pPr>
          </w:p>
        </w:tc>
      </w:tr>
      <w:tr w:rsidR="00A97D92" w:rsidRPr="00071835" w14:paraId="06CEE61D" w14:textId="77777777" w:rsidTr="003616AA">
        <w:tc>
          <w:tcPr>
            <w:tcW w:w="2376" w:type="dxa"/>
            <w:tcMar>
              <w:top w:w="115" w:type="dxa"/>
              <w:left w:w="115" w:type="dxa"/>
              <w:bottom w:w="115" w:type="dxa"/>
              <w:right w:w="115" w:type="dxa"/>
            </w:tcMar>
          </w:tcPr>
          <w:p w14:paraId="6F85710D" w14:textId="77777777" w:rsidR="00A97D92" w:rsidRPr="00071835" w:rsidRDefault="00A97D92" w:rsidP="00A97D92">
            <w:pPr>
              <w:spacing w:after="0" w:line="240" w:lineRule="auto"/>
              <w:rPr>
                <w:rFonts w:eastAsia="Times New Roman"/>
              </w:rPr>
            </w:pPr>
            <w:r w:rsidRPr="00071835">
              <w:rPr>
                <w:rFonts w:eastAsia="Times New Roman"/>
              </w:rPr>
              <w:t>Approved by:</w:t>
            </w:r>
          </w:p>
        </w:tc>
        <w:tc>
          <w:tcPr>
            <w:tcW w:w="6912" w:type="dxa"/>
            <w:tcMar>
              <w:top w:w="115" w:type="dxa"/>
              <w:left w:w="115" w:type="dxa"/>
              <w:bottom w:w="115" w:type="dxa"/>
              <w:right w:w="115" w:type="dxa"/>
            </w:tcMar>
          </w:tcPr>
          <w:p w14:paraId="6D4EE5B3" w14:textId="77777777" w:rsidR="00A97D92" w:rsidRPr="00071835" w:rsidRDefault="00A97D92" w:rsidP="00A97D92">
            <w:pPr>
              <w:spacing w:after="0" w:line="240" w:lineRule="auto"/>
              <w:rPr>
                <w:rFonts w:eastAsia="Times New Roman"/>
              </w:rPr>
            </w:pPr>
          </w:p>
        </w:tc>
      </w:tr>
      <w:tr w:rsidR="00A97D92" w:rsidRPr="00071835" w14:paraId="3497E122" w14:textId="77777777" w:rsidTr="003616AA">
        <w:tc>
          <w:tcPr>
            <w:tcW w:w="2376" w:type="dxa"/>
            <w:tcMar>
              <w:top w:w="115" w:type="dxa"/>
              <w:left w:w="115" w:type="dxa"/>
              <w:bottom w:w="115" w:type="dxa"/>
              <w:right w:w="115" w:type="dxa"/>
            </w:tcMar>
          </w:tcPr>
          <w:p w14:paraId="4A5E912B" w14:textId="77777777" w:rsidR="00A97D92" w:rsidRPr="00071835" w:rsidRDefault="00A97D92" w:rsidP="00A97D92">
            <w:pPr>
              <w:spacing w:after="0" w:line="240" w:lineRule="auto"/>
              <w:rPr>
                <w:rFonts w:eastAsia="Times New Roman"/>
              </w:rPr>
            </w:pPr>
            <w:r w:rsidRPr="00071835">
              <w:rPr>
                <w:rFonts w:eastAsia="Times New Roman"/>
              </w:rPr>
              <w:t>Date of version:</w:t>
            </w:r>
          </w:p>
        </w:tc>
        <w:tc>
          <w:tcPr>
            <w:tcW w:w="6912" w:type="dxa"/>
            <w:tcMar>
              <w:top w:w="115" w:type="dxa"/>
              <w:left w:w="115" w:type="dxa"/>
              <w:bottom w:w="115" w:type="dxa"/>
              <w:right w:w="115" w:type="dxa"/>
            </w:tcMar>
          </w:tcPr>
          <w:p w14:paraId="28F40606" w14:textId="77777777" w:rsidR="00A97D92" w:rsidRPr="00071835" w:rsidRDefault="00A97D92" w:rsidP="00A97D92">
            <w:pPr>
              <w:spacing w:after="0" w:line="240" w:lineRule="auto"/>
              <w:rPr>
                <w:rFonts w:eastAsia="Times New Roman"/>
              </w:rPr>
            </w:pPr>
          </w:p>
        </w:tc>
      </w:tr>
      <w:tr w:rsidR="00A97D92" w:rsidRPr="00071835" w14:paraId="41F1E6D2" w14:textId="77777777" w:rsidTr="003616AA">
        <w:tc>
          <w:tcPr>
            <w:tcW w:w="2376" w:type="dxa"/>
            <w:tcMar>
              <w:top w:w="115" w:type="dxa"/>
              <w:left w:w="115" w:type="dxa"/>
              <w:bottom w:w="115" w:type="dxa"/>
              <w:right w:w="115" w:type="dxa"/>
            </w:tcMar>
          </w:tcPr>
          <w:p w14:paraId="41A49DBC" w14:textId="77777777" w:rsidR="00A97D92" w:rsidRPr="00071835" w:rsidRDefault="00A97D92" w:rsidP="00A97D92">
            <w:pPr>
              <w:spacing w:after="0" w:line="240" w:lineRule="auto"/>
              <w:rPr>
                <w:rFonts w:eastAsia="Times New Roman"/>
              </w:rPr>
            </w:pPr>
            <w:r w:rsidRPr="00071835">
              <w:rPr>
                <w:rFonts w:eastAsia="Times New Roman"/>
              </w:rPr>
              <w:t>Signature:</w:t>
            </w:r>
          </w:p>
        </w:tc>
        <w:tc>
          <w:tcPr>
            <w:tcW w:w="6912" w:type="dxa"/>
            <w:tcMar>
              <w:top w:w="115" w:type="dxa"/>
              <w:left w:w="115" w:type="dxa"/>
              <w:bottom w:w="115" w:type="dxa"/>
              <w:right w:w="115" w:type="dxa"/>
            </w:tcMar>
          </w:tcPr>
          <w:p w14:paraId="6343FA9B" w14:textId="77777777" w:rsidR="00A97D92" w:rsidRPr="00071835" w:rsidRDefault="00A97D92" w:rsidP="00A97D92">
            <w:pPr>
              <w:spacing w:after="0" w:line="240" w:lineRule="auto"/>
              <w:rPr>
                <w:rFonts w:eastAsia="Times New Roman"/>
              </w:rPr>
            </w:pPr>
          </w:p>
        </w:tc>
      </w:tr>
    </w:tbl>
    <w:p w14:paraId="7830F04F" w14:textId="77777777" w:rsidR="00A97D92" w:rsidRPr="00071835" w:rsidRDefault="00A97D92" w:rsidP="00A97D92">
      <w:pPr>
        <w:rPr>
          <w:rFonts w:eastAsia="Times New Roman"/>
        </w:rPr>
      </w:pPr>
    </w:p>
    <w:p w14:paraId="088007BB" w14:textId="77777777" w:rsidR="00A97D92" w:rsidRPr="00071835" w:rsidRDefault="00A97D92" w:rsidP="00A97D92">
      <w:pPr>
        <w:rPr>
          <w:rFonts w:eastAsia="Times New Roman"/>
        </w:rPr>
      </w:pPr>
    </w:p>
    <w:p w14:paraId="32B53C51" w14:textId="77777777" w:rsidR="00A97D92" w:rsidRPr="00071835" w:rsidRDefault="00A97D92" w:rsidP="00A97D92">
      <w:pPr>
        <w:rPr>
          <w:rFonts w:eastAsia="Times New Roman"/>
          <w:b/>
          <w:sz w:val="28"/>
          <w:szCs w:val="28"/>
        </w:rPr>
      </w:pPr>
      <w:commentRangeStart w:id="2"/>
      <w:r w:rsidRPr="00071835">
        <w:rPr>
          <w:rFonts w:eastAsia="Times New Roman"/>
          <w:b/>
          <w:sz w:val="28"/>
          <w:szCs w:val="28"/>
        </w:rPr>
        <w:t>Distribution list</w:t>
      </w:r>
      <w:commentRangeEnd w:id="2"/>
      <w:r w:rsidRPr="00071835">
        <w:rPr>
          <w:rFonts w:eastAsia="Times New Roman"/>
          <w:sz w:val="16"/>
          <w:szCs w:val="16"/>
        </w:rPr>
        <w:commentReference w:id="2"/>
      </w:r>
    </w:p>
    <w:tbl>
      <w:tblPr>
        <w:tblStyle w:val="TableGrid"/>
        <w:tblW w:w="0" w:type="auto"/>
        <w:tblLook w:val="04A0" w:firstRow="1" w:lastRow="0" w:firstColumn="1" w:lastColumn="0" w:noHBand="0" w:noVBand="1"/>
      </w:tblPr>
      <w:tblGrid>
        <w:gridCol w:w="756"/>
        <w:gridCol w:w="2509"/>
        <w:gridCol w:w="1259"/>
        <w:gridCol w:w="1521"/>
        <w:gridCol w:w="1496"/>
        <w:gridCol w:w="1521"/>
      </w:tblGrid>
      <w:tr w:rsidR="00A97D92" w:rsidRPr="00071835" w14:paraId="34344606" w14:textId="77777777" w:rsidTr="003616AA">
        <w:tc>
          <w:tcPr>
            <w:tcW w:w="761" w:type="dxa"/>
            <w:vMerge w:val="restart"/>
            <w:tcMar>
              <w:top w:w="43" w:type="dxa"/>
              <w:left w:w="115" w:type="dxa"/>
              <w:bottom w:w="43" w:type="dxa"/>
              <w:right w:w="115" w:type="dxa"/>
            </w:tcMar>
            <w:vAlign w:val="center"/>
          </w:tcPr>
          <w:p w14:paraId="6DD7CFC8" w14:textId="77777777" w:rsidR="00A97D92" w:rsidRPr="00071835" w:rsidRDefault="00A97D92" w:rsidP="00A97D92">
            <w:pPr>
              <w:spacing w:after="0" w:line="240" w:lineRule="auto"/>
              <w:rPr>
                <w:rFonts w:eastAsia="Times New Roman"/>
              </w:rPr>
            </w:pPr>
            <w:r w:rsidRPr="00071835">
              <w:rPr>
                <w:rFonts w:eastAsia="Times New Roman"/>
              </w:rPr>
              <w:t>Copy no.</w:t>
            </w:r>
          </w:p>
        </w:tc>
        <w:tc>
          <w:tcPr>
            <w:tcW w:w="2587" w:type="dxa"/>
            <w:vMerge w:val="restart"/>
            <w:tcMar>
              <w:top w:w="43" w:type="dxa"/>
              <w:left w:w="115" w:type="dxa"/>
              <w:bottom w:w="43" w:type="dxa"/>
              <w:right w:w="115" w:type="dxa"/>
            </w:tcMar>
            <w:vAlign w:val="center"/>
          </w:tcPr>
          <w:p w14:paraId="0B4B1C21" w14:textId="77777777" w:rsidR="00A97D92" w:rsidRPr="00071835" w:rsidRDefault="00A97D92" w:rsidP="00A97D92">
            <w:pPr>
              <w:spacing w:after="0" w:line="240" w:lineRule="auto"/>
              <w:rPr>
                <w:rFonts w:eastAsia="Times New Roman"/>
              </w:rPr>
            </w:pPr>
            <w:r w:rsidRPr="00071835">
              <w:rPr>
                <w:rFonts w:eastAsia="Times New Roman"/>
              </w:rPr>
              <w:t>Distributed to</w:t>
            </w:r>
          </w:p>
        </w:tc>
        <w:tc>
          <w:tcPr>
            <w:tcW w:w="1296" w:type="dxa"/>
            <w:vMerge w:val="restart"/>
            <w:tcMar>
              <w:top w:w="43" w:type="dxa"/>
              <w:left w:w="115" w:type="dxa"/>
              <w:bottom w:w="43" w:type="dxa"/>
              <w:right w:w="115" w:type="dxa"/>
            </w:tcMar>
            <w:vAlign w:val="center"/>
          </w:tcPr>
          <w:p w14:paraId="5B82C3D3" w14:textId="77777777" w:rsidR="00A97D92" w:rsidRPr="00071835" w:rsidRDefault="00A97D92" w:rsidP="00A97D92">
            <w:pPr>
              <w:spacing w:after="0" w:line="240" w:lineRule="auto"/>
              <w:rPr>
                <w:rFonts w:eastAsia="Times New Roman"/>
              </w:rPr>
            </w:pPr>
            <w:r w:rsidRPr="00071835">
              <w:rPr>
                <w:rFonts w:eastAsia="Times New Roman"/>
              </w:rPr>
              <w:t>Date</w:t>
            </w:r>
          </w:p>
        </w:tc>
        <w:tc>
          <w:tcPr>
            <w:tcW w:w="1548" w:type="dxa"/>
            <w:vMerge w:val="restart"/>
            <w:tcMar>
              <w:top w:w="43" w:type="dxa"/>
              <w:left w:w="115" w:type="dxa"/>
              <w:bottom w:w="43" w:type="dxa"/>
              <w:right w:w="115" w:type="dxa"/>
            </w:tcMar>
            <w:vAlign w:val="center"/>
          </w:tcPr>
          <w:p w14:paraId="429F6B71" w14:textId="77777777" w:rsidR="00A97D92" w:rsidRPr="00071835" w:rsidRDefault="00A97D92" w:rsidP="00A97D92">
            <w:pPr>
              <w:spacing w:after="0" w:line="240" w:lineRule="auto"/>
              <w:rPr>
                <w:rFonts w:eastAsia="Times New Roman"/>
              </w:rPr>
            </w:pPr>
            <w:r w:rsidRPr="00071835">
              <w:rPr>
                <w:rFonts w:eastAsia="Times New Roman"/>
              </w:rPr>
              <w:t>Signature</w:t>
            </w:r>
          </w:p>
        </w:tc>
        <w:tc>
          <w:tcPr>
            <w:tcW w:w="3096" w:type="dxa"/>
            <w:gridSpan w:val="2"/>
            <w:tcMar>
              <w:top w:w="43" w:type="dxa"/>
              <w:left w:w="115" w:type="dxa"/>
              <w:bottom w:w="43" w:type="dxa"/>
              <w:right w:w="115" w:type="dxa"/>
            </w:tcMar>
            <w:vAlign w:val="center"/>
          </w:tcPr>
          <w:p w14:paraId="78E99634" w14:textId="77777777" w:rsidR="00A97D92" w:rsidRPr="00071835" w:rsidRDefault="00A97D92" w:rsidP="00A97D92">
            <w:pPr>
              <w:spacing w:after="0" w:line="240" w:lineRule="auto"/>
              <w:jc w:val="center"/>
              <w:rPr>
                <w:rFonts w:eastAsia="Times New Roman"/>
              </w:rPr>
            </w:pPr>
            <w:r w:rsidRPr="00071835">
              <w:rPr>
                <w:rFonts w:eastAsia="Times New Roman"/>
              </w:rPr>
              <w:t>Returned</w:t>
            </w:r>
          </w:p>
        </w:tc>
      </w:tr>
      <w:tr w:rsidR="00A97D92" w:rsidRPr="00071835" w14:paraId="196F62D7" w14:textId="77777777" w:rsidTr="003616AA">
        <w:tc>
          <w:tcPr>
            <w:tcW w:w="761" w:type="dxa"/>
            <w:vMerge/>
            <w:tcMar>
              <w:top w:w="43" w:type="dxa"/>
              <w:left w:w="115" w:type="dxa"/>
              <w:bottom w:w="43" w:type="dxa"/>
              <w:right w:w="115" w:type="dxa"/>
            </w:tcMar>
          </w:tcPr>
          <w:p w14:paraId="546F14D8" w14:textId="77777777" w:rsidR="00A97D92" w:rsidRPr="00071835" w:rsidRDefault="00A97D92" w:rsidP="00A97D92">
            <w:pPr>
              <w:spacing w:after="0" w:line="240" w:lineRule="auto"/>
              <w:rPr>
                <w:rFonts w:eastAsia="Times New Roman"/>
              </w:rPr>
            </w:pPr>
          </w:p>
        </w:tc>
        <w:tc>
          <w:tcPr>
            <w:tcW w:w="2587" w:type="dxa"/>
            <w:vMerge/>
            <w:tcMar>
              <w:top w:w="43" w:type="dxa"/>
              <w:left w:w="115" w:type="dxa"/>
              <w:bottom w:w="43" w:type="dxa"/>
              <w:right w:w="115" w:type="dxa"/>
            </w:tcMar>
          </w:tcPr>
          <w:p w14:paraId="447F72F1" w14:textId="77777777" w:rsidR="00A97D92" w:rsidRPr="00071835" w:rsidRDefault="00A97D92" w:rsidP="00A97D92">
            <w:pPr>
              <w:spacing w:after="0" w:line="240" w:lineRule="auto"/>
              <w:rPr>
                <w:rFonts w:eastAsia="Times New Roman"/>
              </w:rPr>
            </w:pPr>
          </w:p>
        </w:tc>
        <w:tc>
          <w:tcPr>
            <w:tcW w:w="1296" w:type="dxa"/>
            <w:vMerge/>
            <w:tcMar>
              <w:top w:w="43" w:type="dxa"/>
              <w:left w:w="115" w:type="dxa"/>
              <w:bottom w:w="43" w:type="dxa"/>
              <w:right w:w="115" w:type="dxa"/>
            </w:tcMar>
          </w:tcPr>
          <w:p w14:paraId="68696489" w14:textId="77777777" w:rsidR="00A97D92" w:rsidRPr="00071835" w:rsidRDefault="00A97D92" w:rsidP="00A97D92">
            <w:pPr>
              <w:spacing w:after="0" w:line="240" w:lineRule="auto"/>
              <w:rPr>
                <w:rFonts w:eastAsia="Times New Roman"/>
              </w:rPr>
            </w:pPr>
          </w:p>
        </w:tc>
        <w:tc>
          <w:tcPr>
            <w:tcW w:w="1548" w:type="dxa"/>
            <w:vMerge/>
            <w:tcMar>
              <w:top w:w="43" w:type="dxa"/>
              <w:left w:w="115" w:type="dxa"/>
              <w:bottom w:w="43" w:type="dxa"/>
              <w:right w:w="115" w:type="dxa"/>
            </w:tcMar>
            <w:vAlign w:val="center"/>
          </w:tcPr>
          <w:p w14:paraId="2E42C592"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vAlign w:val="center"/>
          </w:tcPr>
          <w:p w14:paraId="52A237CC" w14:textId="77777777" w:rsidR="00A97D92" w:rsidRPr="00071835" w:rsidRDefault="00A97D92" w:rsidP="00A97D92">
            <w:pPr>
              <w:spacing w:after="0" w:line="240" w:lineRule="auto"/>
              <w:rPr>
                <w:rFonts w:eastAsia="Times New Roman"/>
              </w:rPr>
            </w:pPr>
            <w:r w:rsidRPr="00071835">
              <w:rPr>
                <w:rFonts w:eastAsia="Times New Roman"/>
              </w:rPr>
              <w:t>Date</w:t>
            </w:r>
          </w:p>
        </w:tc>
        <w:tc>
          <w:tcPr>
            <w:tcW w:w="1548" w:type="dxa"/>
            <w:tcMar>
              <w:top w:w="43" w:type="dxa"/>
              <w:left w:w="115" w:type="dxa"/>
              <w:bottom w:w="43" w:type="dxa"/>
              <w:right w:w="115" w:type="dxa"/>
            </w:tcMar>
            <w:vAlign w:val="center"/>
          </w:tcPr>
          <w:p w14:paraId="34436B12" w14:textId="77777777" w:rsidR="00A97D92" w:rsidRPr="00071835" w:rsidRDefault="00A97D92" w:rsidP="00A97D92">
            <w:pPr>
              <w:spacing w:after="0" w:line="240" w:lineRule="auto"/>
              <w:rPr>
                <w:rFonts w:eastAsia="Times New Roman"/>
              </w:rPr>
            </w:pPr>
            <w:r w:rsidRPr="00071835">
              <w:rPr>
                <w:rFonts w:eastAsia="Times New Roman"/>
              </w:rPr>
              <w:t>Signature</w:t>
            </w:r>
          </w:p>
        </w:tc>
      </w:tr>
      <w:tr w:rsidR="00A97D92" w:rsidRPr="00071835" w14:paraId="139DD44D" w14:textId="77777777" w:rsidTr="003616AA">
        <w:tc>
          <w:tcPr>
            <w:tcW w:w="761" w:type="dxa"/>
            <w:tcMar>
              <w:top w:w="43" w:type="dxa"/>
              <w:left w:w="115" w:type="dxa"/>
              <w:bottom w:w="43" w:type="dxa"/>
              <w:right w:w="115" w:type="dxa"/>
            </w:tcMar>
          </w:tcPr>
          <w:p w14:paraId="612F88A7" w14:textId="77777777" w:rsidR="00A97D92" w:rsidRPr="00071835"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779A517F" w14:textId="77777777" w:rsidR="00A97D92" w:rsidRPr="00071835"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76356560"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97F17F8"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1BC78E4A"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51AA76D6" w14:textId="77777777" w:rsidR="00A97D92" w:rsidRPr="00071835" w:rsidRDefault="00A97D92" w:rsidP="00A97D92">
            <w:pPr>
              <w:spacing w:after="0" w:line="240" w:lineRule="auto"/>
              <w:rPr>
                <w:rFonts w:eastAsia="Times New Roman"/>
              </w:rPr>
            </w:pPr>
          </w:p>
        </w:tc>
      </w:tr>
      <w:tr w:rsidR="00A97D92" w:rsidRPr="00071835" w14:paraId="18E51D6B" w14:textId="77777777" w:rsidTr="003616AA">
        <w:tc>
          <w:tcPr>
            <w:tcW w:w="761" w:type="dxa"/>
            <w:tcMar>
              <w:top w:w="43" w:type="dxa"/>
              <w:left w:w="115" w:type="dxa"/>
              <w:bottom w:w="43" w:type="dxa"/>
              <w:right w:w="115" w:type="dxa"/>
            </w:tcMar>
          </w:tcPr>
          <w:p w14:paraId="28E6384F" w14:textId="77777777" w:rsidR="00A97D92" w:rsidRPr="00071835"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230AFA3B" w14:textId="77777777" w:rsidR="00A97D92" w:rsidRPr="00071835"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772E6081"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4939221C"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2FDE5FB8"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010ADDA1" w14:textId="77777777" w:rsidR="00A97D92" w:rsidRPr="00071835" w:rsidRDefault="00A97D92" w:rsidP="00A97D92">
            <w:pPr>
              <w:spacing w:after="0" w:line="240" w:lineRule="auto"/>
              <w:rPr>
                <w:rFonts w:eastAsia="Times New Roman"/>
              </w:rPr>
            </w:pPr>
          </w:p>
        </w:tc>
      </w:tr>
      <w:tr w:rsidR="00A97D92" w:rsidRPr="00071835" w14:paraId="05FE275E" w14:textId="77777777" w:rsidTr="003616AA">
        <w:tc>
          <w:tcPr>
            <w:tcW w:w="761" w:type="dxa"/>
            <w:tcMar>
              <w:top w:w="43" w:type="dxa"/>
              <w:left w:w="115" w:type="dxa"/>
              <w:bottom w:w="43" w:type="dxa"/>
              <w:right w:w="115" w:type="dxa"/>
            </w:tcMar>
          </w:tcPr>
          <w:p w14:paraId="28A640A1" w14:textId="77777777" w:rsidR="00A97D92" w:rsidRPr="00071835"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0D0A2CA8" w14:textId="77777777" w:rsidR="00A97D92" w:rsidRPr="00071835"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5A5FE1CA"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2B65DFC8"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E46D245" w14:textId="77777777" w:rsidR="00A97D92" w:rsidRPr="00071835"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DFDA05E" w14:textId="77777777" w:rsidR="00A97D92" w:rsidRPr="00071835" w:rsidRDefault="00A97D92" w:rsidP="00A97D92">
            <w:pPr>
              <w:spacing w:after="0" w:line="240" w:lineRule="auto"/>
              <w:rPr>
                <w:rFonts w:eastAsia="Times New Roman"/>
              </w:rPr>
            </w:pPr>
          </w:p>
        </w:tc>
      </w:tr>
    </w:tbl>
    <w:p w14:paraId="02390650" w14:textId="77777777" w:rsidR="00A97D92" w:rsidRPr="00071835" w:rsidRDefault="00A97D92" w:rsidP="00A97D92">
      <w:pPr>
        <w:rPr>
          <w:rFonts w:eastAsia="Times New Roman"/>
        </w:rPr>
      </w:pPr>
    </w:p>
    <w:p w14:paraId="60B3D146" w14:textId="77777777" w:rsidR="00A97D92" w:rsidRPr="00071835" w:rsidRDefault="00A97D92" w:rsidP="00A97D92">
      <w:pPr>
        <w:rPr>
          <w:rFonts w:eastAsia="Times New Roman"/>
          <w:b/>
          <w:sz w:val="28"/>
          <w:szCs w:val="28"/>
        </w:rPr>
      </w:pPr>
      <w:r w:rsidRPr="00071835">
        <w:rPr>
          <w:rFonts w:eastAsia="Times New Roman"/>
        </w:rPr>
        <w:br w:type="page"/>
      </w:r>
      <w:r w:rsidRPr="00071835">
        <w:rPr>
          <w:rFonts w:eastAsia="Times New Roman"/>
          <w:b/>
          <w:sz w:val="28"/>
          <w:szCs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97D92" w:rsidRPr="00071835" w14:paraId="1B30A877" w14:textId="77777777" w:rsidTr="003616AA">
        <w:tc>
          <w:tcPr>
            <w:tcW w:w="1344" w:type="dxa"/>
            <w:tcMar>
              <w:top w:w="72" w:type="dxa"/>
              <w:left w:w="115" w:type="dxa"/>
              <w:bottom w:w="72" w:type="dxa"/>
              <w:right w:w="115" w:type="dxa"/>
            </w:tcMar>
          </w:tcPr>
          <w:p w14:paraId="6D705CB2" w14:textId="77777777" w:rsidR="00A97D92" w:rsidRPr="00071835" w:rsidRDefault="00A97D92" w:rsidP="00A97D92">
            <w:pPr>
              <w:spacing w:after="0" w:line="240" w:lineRule="auto"/>
              <w:rPr>
                <w:rFonts w:eastAsia="Times New Roman"/>
                <w:b/>
              </w:rPr>
            </w:pPr>
            <w:r w:rsidRPr="00071835">
              <w:rPr>
                <w:rFonts w:eastAsia="Times New Roman"/>
                <w:b/>
              </w:rPr>
              <w:t>Date</w:t>
            </w:r>
          </w:p>
        </w:tc>
        <w:tc>
          <w:tcPr>
            <w:tcW w:w="988" w:type="dxa"/>
            <w:tcMar>
              <w:top w:w="72" w:type="dxa"/>
              <w:left w:w="115" w:type="dxa"/>
              <w:bottom w:w="72" w:type="dxa"/>
              <w:right w:w="115" w:type="dxa"/>
            </w:tcMar>
          </w:tcPr>
          <w:p w14:paraId="0AA10996" w14:textId="77777777" w:rsidR="00A97D92" w:rsidRPr="00071835" w:rsidRDefault="00A97D92" w:rsidP="00A97D92">
            <w:pPr>
              <w:spacing w:after="0" w:line="240" w:lineRule="auto"/>
              <w:rPr>
                <w:rFonts w:eastAsia="Times New Roman"/>
                <w:b/>
              </w:rPr>
            </w:pPr>
            <w:r w:rsidRPr="00071835">
              <w:rPr>
                <w:rFonts w:eastAsia="Times New Roman"/>
                <w:b/>
              </w:rPr>
              <w:t>Version</w:t>
            </w:r>
          </w:p>
        </w:tc>
        <w:tc>
          <w:tcPr>
            <w:tcW w:w="1600" w:type="dxa"/>
            <w:tcMar>
              <w:top w:w="72" w:type="dxa"/>
              <w:left w:w="115" w:type="dxa"/>
              <w:bottom w:w="72" w:type="dxa"/>
              <w:right w:w="115" w:type="dxa"/>
            </w:tcMar>
          </w:tcPr>
          <w:p w14:paraId="5EF968C7" w14:textId="77777777" w:rsidR="00A97D92" w:rsidRPr="00071835" w:rsidRDefault="00A97D92" w:rsidP="00A97D92">
            <w:pPr>
              <w:spacing w:after="0" w:line="240" w:lineRule="auto"/>
              <w:rPr>
                <w:rFonts w:eastAsia="Times New Roman"/>
                <w:b/>
              </w:rPr>
            </w:pPr>
            <w:r w:rsidRPr="00071835">
              <w:rPr>
                <w:rFonts w:eastAsia="Times New Roman"/>
                <w:b/>
              </w:rPr>
              <w:t>Created by</w:t>
            </w:r>
          </w:p>
        </w:tc>
        <w:tc>
          <w:tcPr>
            <w:tcW w:w="5130" w:type="dxa"/>
            <w:tcMar>
              <w:top w:w="72" w:type="dxa"/>
              <w:left w:w="115" w:type="dxa"/>
              <w:bottom w:w="72" w:type="dxa"/>
              <w:right w:w="115" w:type="dxa"/>
            </w:tcMar>
          </w:tcPr>
          <w:p w14:paraId="2135775B" w14:textId="77777777" w:rsidR="00A97D92" w:rsidRPr="00071835" w:rsidRDefault="00A97D92" w:rsidP="00A97D92">
            <w:pPr>
              <w:spacing w:after="0" w:line="240" w:lineRule="auto"/>
              <w:rPr>
                <w:rFonts w:eastAsia="Times New Roman"/>
                <w:b/>
              </w:rPr>
            </w:pPr>
            <w:r w:rsidRPr="00071835">
              <w:rPr>
                <w:rFonts w:eastAsia="Times New Roman"/>
                <w:b/>
              </w:rPr>
              <w:t>Description of change</w:t>
            </w:r>
          </w:p>
        </w:tc>
      </w:tr>
      <w:tr w:rsidR="00A97D92" w:rsidRPr="00071835" w14:paraId="728D4634" w14:textId="77777777" w:rsidTr="003616AA">
        <w:tc>
          <w:tcPr>
            <w:tcW w:w="1344" w:type="dxa"/>
            <w:tcMar>
              <w:top w:w="72" w:type="dxa"/>
              <w:left w:w="115" w:type="dxa"/>
              <w:bottom w:w="72" w:type="dxa"/>
              <w:right w:w="115" w:type="dxa"/>
            </w:tcMar>
          </w:tcPr>
          <w:p w14:paraId="34BB9EDE" w14:textId="77777777" w:rsidR="00A97D92" w:rsidRPr="00071835"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1CCA88FC" w14:textId="77777777" w:rsidR="00A97D92" w:rsidRPr="00071835" w:rsidRDefault="00A97D92" w:rsidP="00A97D92">
            <w:pPr>
              <w:spacing w:after="0" w:line="240" w:lineRule="auto"/>
              <w:rPr>
                <w:rFonts w:eastAsia="Times New Roman"/>
              </w:rPr>
            </w:pPr>
            <w:r w:rsidRPr="00071835">
              <w:rPr>
                <w:rFonts w:eastAsia="Times New Roman"/>
              </w:rPr>
              <w:t>0.1</w:t>
            </w:r>
          </w:p>
        </w:tc>
        <w:tc>
          <w:tcPr>
            <w:tcW w:w="1600" w:type="dxa"/>
            <w:tcMar>
              <w:top w:w="72" w:type="dxa"/>
              <w:left w:w="115" w:type="dxa"/>
              <w:bottom w:w="72" w:type="dxa"/>
              <w:right w:w="115" w:type="dxa"/>
            </w:tcMar>
          </w:tcPr>
          <w:p w14:paraId="20F5F953" w14:textId="48287270" w:rsidR="00A97D92" w:rsidRPr="00071835" w:rsidRDefault="00806544" w:rsidP="00A97D92">
            <w:pPr>
              <w:spacing w:after="0" w:line="240" w:lineRule="auto"/>
              <w:rPr>
                <w:rFonts w:eastAsia="Times New Roman"/>
              </w:rPr>
            </w:pPr>
            <w:r>
              <w:rPr>
                <w:rFonts w:eastAsia="Times New Roman"/>
              </w:rPr>
              <w:t>Advisera</w:t>
            </w:r>
          </w:p>
        </w:tc>
        <w:tc>
          <w:tcPr>
            <w:tcW w:w="5130" w:type="dxa"/>
            <w:tcMar>
              <w:top w:w="72" w:type="dxa"/>
              <w:left w:w="115" w:type="dxa"/>
              <w:bottom w:w="72" w:type="dxa"/>
              <w:right w:w="115" w:type="dxa"/>
            </w:tcMar>
          </w:tcPr>
          <w:p w14:paraId="176AAD76" w14:textId="77777777" w:rsidR="00A97D92" w:rsidRPr="00071835" w:rsidRDefault="00A97D92" w:rsidP="00A97D92">
            <w:pPr>
              <w:spacing w:after="0" w:line="240" w:lineRule="auto"/>
              <w:rPr>
                <w:rFonts w:eastAsia="Times New Roman"/>
              </w:rPr>
            </w:pPr>
            <w:r w:rsidRPr="00071835">
              <w:rPr>
                <w:rFonts w:eastAsia="Times New Roman"/>
              </w:rPr>
              <w:t>Basic document outline</w:t>
            </w:r>
          </w:p>
        </w:tc>
      </w:tr>
      <w:tr w:rsidR="00A97D92" w:rsidRPr="00071835" w14:paraId="54B8C8BF" w14:textId="77777777" w:rsidTr="003616AA">
        <w:tc>
          <w:tcPr>
            <w:tcW w:w="1344" w:type="dxa"/>
            <w:tcMar>
              <w:top w:w="72" w:type="dxa"/>
              <w:left w:w="115" w:type="dxa"/>
              <w:bottom w:w="72" w:type="dxa"/>
              <w:right w:w="115" w:type="dxa"/>
            </w:tcMar>
          </w:tcPr>
          <w:p w14:paraId="30CB3DE4" w14:textId="77777777" w:rsidR="00A97D92" w:rsidRPr="00071835"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00121731" w14:textId="77777777" w:rsidR="00A97D92" w:rsidRPr="00071835"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1107197" w14:textId="77777777" w:rsidR="00A97D92" w:rsidRPr="00071835"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EE28FEF" w14:textId="77777777" w:rsidR="00A97D92" w:rsidRPr="00071835" w:rsidRDefault="00A97D92" w:rsidP="00A97D92">
            <w:pPr>
              <w:spacing w:after="0" w:line="240" w:lineRule="auto"/>
              <w:rPr>
                <w:rFonts w:eastAsia="Times New Roman"/>
              </w:rPr>
            </w:pPr>
          </w:p>
        </w:tc>
      </w:tr>
      <w:tr w:rsidR="00A97D92" w:rsidRPr="00071835" w14:paraId="5E8CB954" w14:textId="77777777" w:rsidTr="003616AA">
        <w:tc>
          <w:tcPr>
            <w:tcW w:w="1344" w:type="dxa"/>
            <w:tcMar>
              <w:top w:w="72" w:type="dxa"/>
              <w:left w:w="115" w:type="dxa"/>
              <w:bottom w:w="72" w:type="dxa"/>
              <w:right w:w="115" w:type="dxa"/>
            </w:tcMar>
          </w:tcPr>
          <w:p w14:paraId="4FFA2A37" w14:textId="77777777" w:rsidR="00A97D92" w:rsidRPr="00071835"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B327039" w14:textId="77777777" w:rsidR="00A97D92" w:rsidRPr="00071835"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6908184A" w14:textId="77777777" w:rsidR="00A97D92" w:rsidRPr="00071835"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698CA10" w14:textId="77777777" w:rsidR="00A97D92" w:rsidRPr="00071835" w:rsidRDefault="00A97D92" w:rsidP="00A97D92">
            <w:pPr>
              <w:spacing w:after="0" w:line="240" w:lineRule="auto"/>
              <w:rPr>
                <w:rFonts w:eastAsia="Times New Roman"/>
              </w:rPr>
            </w:pPr>
          </w:p>
        </w:tc>
      </w:tr>
      <w:tr w:rsidR="00A97D92" w:rsidRPr="00071835" w14:paraId="57A1AE6A" w14:textId="77777777" w:rsidTr="003616AA">
        <w:tc>
          <w:tcPr>
            <w:tcW w:w="1344" w:type="dxa"/>
            <w:tcMar>
              <w:top w:w="72" w:type="dxa"/>
              <w:left w:w="115" w:type="dxa"/>
              <w:bottom w:w="72" w:type="dxa"/>
              <w:right w:w="115" w:type="dxa"/>
            </w:tcMar>
          </w:tcPr>
          <w:p w14:paraId="57AEAC8C" w14:textId="77777777" w:rsidR="00A97D92" w:rsidRPr="00071835"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631E5950" w14:textId="77777777" w:rsidR="00A97D92" w:rsidRPr="00071835"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E5545D4" w14:textId="77777777" w:rsidR="00A97D92" w:rsidRPr="00071835"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864A1D8" w14:textId="77777777" w:rsidR="00A97D92" w:rsidRPr="00071835" w:rsidRDefault="00A97D92" w:rsidP="00A97D92">
            <w:pPr>
              <w:spacing w:after="0" w:line="240" w:lineRule="auto"/>
              <w:rPr>
                <w:rFonts w:eastAsia="Times New Roman"/>
              </w:rPr>
            </w:pPr>
          </w:p>
        </w:tc>
      </w:tr>
      <w:tr w:rsidR="00A97D92" w:rsidRPr="00071835" w14:paraId="736F31A3" w14:textId="77777777" w:rsidTr="003616AA">
        <w:tc>
          <w:tcPr>
            <w:tcW w:w="1344" w:type="dxa"/>
            <w:tcMar>
              <w:top w:w="72" w:type="dxa"/>
              <w:left w:w="115" w:type="dxa"/>
              <w:bottom w:w="72" w:type="dxa"/>
              <w:right w:w="115" w:type="dxa"/>
            </w:tcMar>
          </w:tcPr>
          <w:p w14:paraId="70ACF544" w14:textId="77777777" w:rsidR="00A97D92" w:rsidRPr="00071835"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364A2CF6" w14:textId="77777777" w:rsidR="00A97D92" w:rsidRPr="00071835"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6ABAB90" w14:textId="77777777" w:rsidR="00A97D92" w:rsidRPr="00071835"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2E1971F" w14:textId="77777777" w:rsidR="00A97D92" w:rsidRPr="00071835" w:rsidRDefault="00A97D92" w:rsidP="00A97D92">
            <w:pPr>
              <w:spacing w:after="0" w:line="240" w:lineRule="auto"/>
              <w:rPr>
                <w:rFonts w:eastAsia="Times New Roman"/>
              </w:rPr>
            </w:pPr>
          </w:p>
        </w:tc>
      </w:tr>
      <w:tr w:rsidR="00A97D92" w:rsidRPr="00071835" w14:paraId="282CF601" w14:textId="77777777" w:rsidTr="003616AA">
        <w:tc>
          <w:tcPr>
            <w:tcW w:w="1344" w:type="dxa"/>
            <w:tcMar>
              <w:top w:w="72" w:type="dxa"/>
              <w:left w:w="115" w:type="dxa"/>
              <w:bottom w:w="72" w:type="dxa"/>
              <w:right w:w="115" w:type="dxa"/>
            </w:tcMar>
          </w:tcPr>
          <w:p w14:paraId="0BD02EF5" w14:textId="77777777" w:rsidR="00A97D92" w:rsidRPr="00071835"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CA6207B" w14:textId="77777777" w:rsidR="00A97D92" w:rsidRPr="00071835"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C38E05C" w14:textId="77777777" w:rsidR="00A97D92" w:rsidRPr="00071835"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D03DC73" w14:textId="77777777" w:rsidR="00A97D92" w:rsidRPr="00071835" w:rsidRDefault="00A97D92" w:rsidP="00A97D92">
            <w:pPr>
              <w:spacing w:after="0" w:line="240" w:lineRule="auto"/>
              <w:rPr>
                <w:rFonts w:eastAsia="Times New Roman"/>
              </w:rPr>
            </w:pPr>
          </w:p>
        </w:tc>
      </w:tr>
      <w:tr w:rsidR="00A97D92" w:rsidRPr="00071835" w14:paraId="7DAFF9C7" w14:textId="77777777" w:rsidTr="003616AA">
        <w:tc>
          <w:tcPr>
            <w:tcW w:w="1344" w:type="dxa"/>
            <w:tcMar>
              <w:top w:w="72" w:type="dxa"/>
              <w:left w:w="115" w:type="dxa"/>
              <w:bottom w:w="72" w:type="dxa"/>
              <w:right w:w="115" w:type="dxa"/>
            </w:tcMar>
          </w:tcPr>
          <w:p w14:paraId="5FE6501D" w14:textId="77777777" w:rsidR="00A97D92" w:rsidRPr="00071835"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219C5AE1" w14:textId="77777777" w:rsidR="00A97D92" w:rsidRPr="00071835"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06572443" w14:textId="77777777" w:rsidR="00A97D92" w:rsidRPr="00071835"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5816CC7F" w14:textId="77777777" w:rsidR="00A97D92" w:rsidRPr="00071835" w:rsidRDefault="00A97D92" w:rsidP="00A97D92">
            <w:pPr>
              <w:spacing w:after="0" w:line="240" w:lineRule="auto"/>
              <w:rPr>
                <w:rFonts w:eastAsia="Times New Roman"/>
              </w:rPr>
            </w:pPr>
          </w:p>
        </w:tc>
      </w:tr>
    </w:tbl>
    <w:p w14:paraId="630E38BC" w14:textId="4FAB33A3" w:rsidR="00A97D92" w:rsidRPr="00071835" w:rsidRDefault="00A97D92" w:rsidP="00A97D92">
      <w:pPr>
        <w:rPr>
          <w:rFonts w:eastAsia="Times New Roman"/>
        </w:rPr>
      </w:pPr>
    </w:p>
    <w:p w14:paraId="75E8C1C3" w14:textId="77777777" w:rsidR="00A97D92" w:rsidRPr="00071835" w:rsidRDefault="00A97D92" w:rsidP="00A97D92">
      <w:pPr>
        <w:rPr>
          <w:rFonts w:eastAsia="Times New Roman"/>
        </w:rPr>
      </w:pPr>
    </w:p>
    <w:p w14:paraId="69CFC360" w14:textId="080756F5" w:rsidR="00F961E0" w:rsidRPr="00071835" w:rsidRDefault="00F37DA3" w:rsidP="00F961E0">
      <w:pPr>
        <w:rPr>
          <w:b/>
          <w:sz w:val="28"/>
          <w:szCs w:val="28"/>
        </w:rPr>
      </w:pPr>
      <w:r w:rsidRPr="00071835">
        <w:rPr>
          <w:b/>
          <w:sz w:val="28"/>
          <w:szCs w:val="28"/>
        </w:rPr>
        <w:t>Table of contents</w:t>
      </w:r>
    </w:p>
    <w:p w14:paraId="3746D339" w14:textId="31CC066A" w:rsidR="007C74EA"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071835">
        <w:rPr>
          <w:b w:val="0"/>
          <w:bCs w:val="0"/>
          <w:caps w:val="0"/>
        </w:rPr>
        <w:fldChar w:fldCharType="begin"/>
      </w:r>
      <w:r w:rsidR="00F37DA3" w:rsidRPr="00071835">
        <w:rPr>
          <w:b w:val="0"/>
          <w:bCs w:val="0"/>
          <w:caps w:val="0"/>
        </w:rPr>
        <w:instrText xml:space="preserve"> TOC \o "1-3" \h \z \u </w:instrText>
      </w:r>
      <w:r w:rsidRPr="00071835">
        <w:rPr>
          <w:b w:val="0"/>
          <w:bCs w:val="0"/>
          <w:caps w:val="0"/>
        </w:rPr>
        <w:fldChar w:fldCharType="separate"/>
      </w:r>
      <w:hyperlink w:anchor="_Toc148368421" w:history="1">
        <w:r w:rsidR="007C74EA" w:rsidRPr="00516B22">
          <w:rPr>
            <w:rStyle w:val="Hyperlink"/>
            <w:noProof/>
          </w:rPr>
          <w:t>1.</w:t>
        </w:r>
        <w:r w:rsidR="007C74EA">
          <w:rPr>
            <w:rFonts w:asciiTheme="minorHAnsi" w:eastAsiaTheme="minorEastAsia" w:hAnsiTheme="minorHAnsi" w:cstheme="minorBidi"/>
            <w:b w:val="0"/>
            <w:bCs w:val="0"/>
            <w:caps w:val="0"/>
            <w:noProof/>
            <w:sz w:val="22"/>
            <w:szCs w:val="22"/>
          </w:rPr>
          <w:tab/>
        </w:r>
        <w:r w:rsidR="007C74EA" w:rsidRPr="00516B22">
          <w:rPr>
            <w:rStyle w:val="Hyperlink"/>
            <w:noProof/>
          </w:rPr>
          <w:t>Purpose, scope and users</w:t>
        </w:r>
        <w:r w:rsidR="007C74EA">
          <w:rPr>
            <w:noProof/>
            <w:webHidden/>
          </w:rPr>
          <w:tab/>
        </w:r>
        <w:r w:rsidR="007C74EA">
          <w:rPr>
            <w:noProof/>
            <w:webHidden/>
          </w:rPr>
          <w:fldChar w:fldCharType="begin"/>
        </w:r>
        <w:r w:rsidR="007C74EA">
          <w:rPr>
            <w:noProof/>
            <w:webHidden/>
          </w:rPr>
          <w:instrText xml:space="preserve"> PAGEREF _Toc148368421 \h </w:instrText>
        </w:r>
        <w:r w:rsidR="007C74EA">
          <w:rPr>
            <w:noProof/>
            <w:webHidden/>
          </w:rPr>
        </w:r>
        <w:r w:rsidR="007C74EA">
          <w:rPr>
            <w:noProof/>
            <w:webHidden/>
          </w:rPr>
          <w:fldChar w:fldCharType="separate"/>
        </w:r>
        <w:r w:rsidR="003056A1">
          <w:rPr>
            <w:noProof/>
            <w:webHidden/>
          </w:rPr>
          <w:t>3</w:t>
        </w:r>
        <w:r w:rsidR="007C74EA">
          <w:rPr>
            <w:noProof/>
            <w:webHidden/>
          </w:rPr>
          <w:fldChar w:fldCharType="end"/>
        </w:r>
      </w:hyperlink>
    </w:p>
    <w:p w14:paraId="3321FFA2" w14:textId="54AB58A6" w:rsidR="007C74EA" w:rsidRDefault="00525E36">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8422" w:history="1">
        <w:r w:rsidR="007C74EA" w:rsidRPr="00516B22">
          <w:rPr>
            <w:rStyle w:val="Hyperlink"/>
            <w:noProof/>
          </w:rPr>
          <w:t>2.</w:t>
        </w:r>
        <w:r w:rsidR="007C74EA">
          <w:rPr>
            <w:rFonts w:asciiTheme="minorHAnsi" w:eastAsiaTheme="minorEastAsia" w:hAnsiTheme="minorHAnsi" w:cstheme="minorBidi"/>
            <w:b w:val="0"/>
            <w:bCs w:val="0"/>
            <w:caps w:val="0"/>
            <w:noProof/>
            <w:sz w:val="22"/>
            <w:szCs w:val="22"/>
          </w:rPr>
          <w:tab/>
        </w:r>
        <w:r w:rsidR="007C74EA" w:rsidRPr="00516B22">
          <w:rPr>
            <w:rStyle w:val="Hyperlink"/>
            <w:noProof/>
          </w:rPr>
          <w:t>Reference documents</w:t>
        </w:r>
        <w:r w:rsidR="007C74EA">
          <w:rPr>
            <w:noProof/>
            <w:webHidden/>
          </w:rPr>
          <w:tab/>
        </w:r>
        <w:r w:rsidR="007C74EA">
          <w:rPr>
            <w:noProof/>
            <w:webHidden/>
          </w:rPr>
          <w:fldChar w:fldCharType="begin"/>
        </w:r>
        <w:r w:rsidR="007C74EA">
          <w:rPr>
            <w:noProof/>
            <w:webHidden/>
          </w:rPr>
          <w:instrText xml:space="preserve"> PAGEREF _Toc148368422 \h </w:instrText>
        </w:r>
        <w:r w:rsidR="007C74EA">
          <w:rPr>
            <w:noProof/>
            <w:webHidden/>
          </w:rPr>
        </w:r>
        <w:r w:rsidR="007C74EA">
          <w:rPr>
            <w:noProof/>
            <w:webHidden/>
          </w:rPr>
          <w:fldChar w:fldCharType="separate"/>
        </w:r>
        <w:r w:rsidR="003056A1">
          <w:rPr>
            <w:noProof/>
            <w:webHidden/>
          </w:rPr>
          <w:t>3</w:t>
        </w:r>
        <w:r w:rsidR="007C74EA">
          <w:rPr>
            <w:noProof/>
            <w:webHidden/>
          </w:rPr>
          <w:fldChar w:fldCharType="end"/>
        </w:r>
      </w:hyperlink>
    </w:p>
    <w:p w14:paraId="3A58C018" w14:textId="3586B43C" w:rsidR="007C74EA" w:rsidRDefault="00525E36">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8423" w:history="1">
        <w:r w:rsidR="007C74EA" w:rsidRPr="00516B22">
          <w:rPr>
            <w:rStyle w:val="Hyperlink"/>
            <w:noProof/>
          </w:rPr>
          <w:t>3.</w:t>
        </w:r>
        <w:r w:rsidR="007C74EA">
          <w:rPr>
            <w:rFonts w:asciiTheme="minorHAnsi" w:eastAsiaTheme="minorEastAsia" w:hAnsiTheme="minorHAnsi" w:cstheme="minorBidi"/>
            <w:b w:val="0"/>
            <w:bCs w:val="0"/>
            <w:caps w:val="0"/>
            <w:noProof/>
            <w:sz w:val="22"/>
            <w:szCs w:val="22"/>
          </w:rPr>
          <w:tab/>
        </w:r>
        <w:r w:rsidR="007C74EA" w:rsidRPr="00516B22">
          <w:rPr>
            <w:rStyle w:val="Hyperlink"/>
            <w:noProof/>
          </w:rPr>
          <w:t>Post-market surveillance</w:t>
        </w:r>
        <w:r w:rsidR="007C74EA">
          <w:rPr>
            <w:noProof/>
            <w:webHidden/>
          </w:rPr>
          <w:tab/>
        </w:r>
        <w:r w:rsidR="007C74EA">
          <w:rPr>
            <w:noProof/>
            <w:webHidden/>
          </w:rPr>
          <w:fldChar w:fldCharType="begin"/>
        </w:r>
        <w:r w:rsidR="007C74EA">
          <w:rPr>
            <w:noProof/>
            <w:webHidden/>
          </w:rPr>
          <w:instrText xml:space="preserve"> PAGEREF _Toc148368423 \h </w:instrText>
        </w:r>
        <w:r w:rsidR="007C74EA">
          <w:rPr>
            <w:noProof/>
            <w:webHidden/>
          </w:rPr>
        </w:r>
        <w:r w:rsidR="007C74EA">
          <w:rPr>
            <w:noProof/>
            <w:webHidden/>
          </w:rPr>
          <w:fldChar w:fldCharType="separate"/>
        </w:r>
        <w:r w:rsidR="003056A1">
          <w:rPr>
            <w:noProof/>
            <w:webHidden/>
          </w:rPr>
          <w:t>3</w:t>
        </w:r>
        <w:r w:rsidR="007C74EA">
          <w:rPr>
            <w:noProof/>
            <w:webHidden/>
          </w:rPr>
          <w:fldChar w:fldCharType="end"/>
        </w:r>
      </w:hyperlink>
    </w:p>
    <w:p w14:paraId="79CE352D" w14:textId="71A65BED" w:rsidR="007C74EA" w:rsidRDefault="00525E36">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8424" w:history="1">
        <w:r w:rsidR="007C74EA" w:rsidRPr="00516B22">
          <w:rPr>
            <w:rStyle w:val="Hyperlink"/>
            <w:noProof/>
          </w:rPr>
          <w:t>3.1.</w:t>
        </w:r>
        <w:r w:rsidR="007C74EA">
          <w:rPr>
            <w:rFonts w:asciiTheme="minorHAnsi" w:eastAsiaTheme="minorEastAsia" w:hAnsiTheme="minorHAnsi" w:cstheme="minorBidi"/>
            <w:smallCaps w:val="0"/>
            <w:noProof/>
            <w:sz w:val="22"/>
            <w:szCs w:val="22"/>
          </w:rPr>
          <w:tab/>
        </w:r>
        <w:r w:rsidR="007C74EA" w:rsidRPr="00516B22">
          <w:rPr>
            <w:rStyle w:val="Hyperlink"/>
            <w:noProof/>
          </w:rPr>
          <w:t>Gathering the data and Post-Market Surveillance Plan</w:t>
        </w:r>
        <w:r w:rsidR="007C74EA">
          <w:rPr>
            <w:noProof/>
            <w:webHidden/>
          </w:rPr>
          <w:tab/>
        </w:r>
        <w:r w:rsidR="007C74EA">
          <w:rPr>
            <w:noProof/>
            <w:webHidden/>
          </w:rPr>
          <w:fldChar w:fldCharType="begin"/>
        </w:r>
        <w:r w:rsidR="007C74EA">
          <w:rPr>
            <w:noProof/>
            <w:webHidden/>
          </w:rPr>
          <w:instrText xml:space="preserve"> PAGEREF _Toc148368424 \h </w:instrText>
        </w:r>
        <w:r w:rsidR="007C74EA">
          <w:rPr>
            <w:noProof/>
            <w:webHidden/>
          </w:rPr>
        </w:r>
        <w:r w:rsidR="007C74EA">
          <w:rPr>
            <w:noProof/>
            <w:webHidden/>
          </w:rPr>
          <w:fldChar w:fldCharType="separate"/>
        </w:r>
        <w:r w:rsidR="003056A1">
          <w:rPr>
            <w:noProof/>
            <w:webHidden/>
          </w:rPr>
          <w:t>3</w:t>
        </w:r>
        <w:r w:rsidR="007C74EA">
          <w:rPr>
            <w:noProof/>
            <w:webHidden/>
          </w:rPr>
          <w:fldChar w:fldCharType="end"/>
        </w:r>
      </w:hyperlink>
    </w:p>
    <w:p w14:paraId="76DB0517" w14:textId="1CB035AD" w:rsidR="007C74EA" w:rsidRDefault="00525E36">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8425" w:history="1">
        <w:r w:rsidR="007C74EA" w:rsidRPr="00516B22">
          <w:rPr>
            <w:rStyle w:val="Hyperlink"/>
            <w:noProof/>
          </w:rPr>
          <w:t>3.2.</w:t>
        </w:r>
        <w:r w:rsidR="007C74EA">
          <w:rPr>
            <w:rFonts w:asciiTheme="minorHAnsi" w:eastAsiaTheme="minorEastAsia" w:hAnsiTheme="minorHAnsi" w:cstheme="minorBidi"/>
            <w:smallCaps w:val="0"/>
            <w:noProof/>
            <w:sz w:val="22"/>
            <w:szCs w:val="22"/>
          </w:rPr>
          <w:tab/>
        </w:r>
        <w:r w:rsidR="007C74EA" w:rsidRPr="00516B22">
          <w:rPr>
            <w:rStyle w:val="Hyperlink"/>
            <w:noProof/>
          </w:rPr>
          <w:t>Post-market surveillance report</w:t>
        </w:r>
        <w:r w:rsidR="007C74EA">
          <w:rPr>
            <w:noProof/>
            <w:webHidden/>
          </w:rPr>
          <w:tab/>
        </w:r>
        <w:r w:rsidR="007C74EA">
          <w:rPr>
            <w:noProof/>
            <w:webHidden/>
          </w:rPr>
          <w:fldChar w:fldCharType="begin"/>
        </w:r>
        <w:r w:rsidR="007C74EA">
          <w:rPr>
            <w:noProof/>
            <w:webHidden/>
          </w:rPr>
          <w:instrText xml:space="preserve"> PAGEREF _Toc148368425 \h </w:instrText>
        </w:r>
        <w:r w:rsidR="007C74EA">
          <w:rPr>
            <w:noProof/>
            <w:webHidden/>
          </w:rPr>
        </w:r>
        <w:r w:rsidR="007C74EA">
          <w:rPr>
            <w:noProof/>
            <w:webHidden/>
          </w:rPr>
          <w:fldChar w:fldCharType="separate"/>
        </w:r>
        <w:r w:rsidR="003056A1">
          <w:rPr>
            <w:noProof/>
            <w:webHidden/>
          </w:rPr>
          <w:t>4</w:t>
        </w:r>
        <w:r w:rsidR="007C74EA">
          <w:rPr>
            <w:noProof/>
            <w:webHidden/>
          </w:rPr>
          <w:fldChar w:fldCharType="end"/>
        </w:r>
      </w:hyperlink>
    </w:p>
    <w:p w14:paraId="4B5F4C66" w14:textId="5F333E1A" w:rsidR="007C74EA" w:rsidRDefault="00525E36">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8426" w:history="1">
        <w:r w:rsidR="007C74EA" w:rsidRPr="00516B22">
          <w:rPr>
            <w:rStyle w:val="Hyperlink"/>
            <w:noProof/>
          </w:rPr>
          <w:t>3.3.</w:t>
        </w:r>
        <w:r w:rsidR="007C74EA">
          <w:rPr>
            <w:rFonts w:asciiTheme="minorHAnsi" w:eastAsiaTheme="minorEastAsia" w:hAnsiTheme="minorHAnsi" w:cstheme="minorBidi"/>
            <w:smallCaps w:val="0"/>
            <w:noProof/>
            <w:sz w:val="22"/>
            <w:szCs w:val="22"/>
          </w:rPr>
          <w:tab/>
        </w:r>
        <w:r w:rsidR="007C74EA" w:rsidRPr="00516B22">
          <w:rPr>
            <w:rStyle w:val="Hyperlink"/>
            <w:noProof/>
          </w:rPr>
          <w:t>Periodic Safety Update Report (PSUR)</w:t>
        </w:r>
        <w:r w:rsidR="007C74EA">
          <w:rPr>
            <w:noProof/>
            <w:webHidden/>
          </w:rPr>
          <w:tab/>
        </w:r>
        <w:r w:rsidR="007C74EA">
          <w:rPr>
            <w:noProof/>
            <w:webHidden/>
          </w:rPr>
          <w:fldChar w:fldCharType="begin"/>
        </w:r>
        <w:r w:rsidR="007C74EA">
          <w:rPr>
            <w:noProof/>
            <w:webHidden/>
          </w:rPr>
          <w:instrText xml:space="preserve"> PAGEREF _Toc148368426 \h </w:instrText>
        </w:r>
        <w:r w:rsidR="007C74EA">
          <w:rPr>
            <w:noProof/>
            <w:webHidden/>
          </w:rPr>
        </w:r>
        <w:r w:rsidR="007C74EA">
          <w:rPr>
            <w:noProof/>
            <w:webHidden/>
          </w:rPr>
          <w:fldChar w:fldCharType="separate"/>
        </w:r>
        <w:r w:rsidR="003056A1">
          <w:rPr>
            <w:noProof/>
            <w:webHidden/>
          </w:rPr>
          <w:t>4</w:t>
        </w:r>
        <w:r w:rsidR="007C74EA">
          <w:rPr>
            <w:noProof/>
            <w:webHidden/>
          </w:rPr>
          <w:fldChar w:fldCharType="end"/>
        </w:r>
      </w:hyperlink>
    </w:p>
    <w:p w14:paraId="2202C770" w14:textId="4731BD85" w:rsidR="007C74EA" w:rsidRDefault="00525E36">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8427" w:history="1">
        <w:r w:rsidR="007C74EA" w:rsidRPr="00516B22">
          <w:rPr>
            <w:rStyle w:val="Hyperlink"/>
            <w:noProof/>
          </w:rPr>
          <w:t>3.4.</w:t>
        </w:r>
        <w:r w:rsidR="007C74EA">
          <w:rPr>
            <w:rFonts w:asciiTheme="minorHAnsi" w:eastAsiaTheme="minorEastAsia" w:hAnsiTheme="minorHAnsi" w:cstheme="minorBidi"/>
            <w:smallCaps w:val="0"/>
            <w:noProof/>
            <w:sz w:val="22"/>
            <w:szCs w:val="22"/>
          </w:rPr>
          <w:tab/>
        </w:r>
        <w:r w:rsidR="007C74EA" w:rsidRPr="00516B22">
          <w:rPr>
            <w:rStyle w:val="Hyperlink"/>
            <w:noProof/>
          </w:rPr>
          <w:t>Post-market clinical follow-up</w:t>
        </w:r>
        <w:r w:rsidR="007C74EA">
          <w:rPr>
            <w:noProof/>
            <w:webHidden/>
          </w:rPr>
          <w:tab/>
        </w:r>
        <w:r w:rsidR="007C74EA">
          <w:rPr>
            <w:noProof/>
            <w:webHidden/>
          </w:rPr>
          <w:fldChar w:fldCharType="begin"/>
        </w:r>
        <w:r w:rsidR="007C74EA">
          <w:rPr>
            <w:noProof/>
            <w:webHidden/>
          </w:rPr>
          <w:instrText xml:space="preserve"> PAGEREF _Toc148368427 \h </w:instrText>
        </w:r>
        <w:r w:rsidR="007C74EA">
          <w:rPr>
            <w:noProof/>
            <w:webHidden/>
          </w:rPr>
        </w:r>
        <w:r w:rsidR="007C74EA">
          <w:rPr>
            <w:noProof/>
            <w:webHidden/>
          </w:rPr>
          <w:fldChar w:fldCharType="separate"/>
        </w:r>
        <w:r w:rsidR="003056A1">
          <w:rPr>
            <w:noProof/>
            <w:webHidden/>
          </w:rPr>
          <w:t>5</w:t>
        </w:r>
        <w:r w:rsidR="007C74EA">
          <w:rPr>
            <w:noProof/>
            <w:webHidden/>
          </w:rPr>
          <w:fldChar w:fldCharType="end"/>
        </w:r>
      </w:hyperlink>
    </w:p>
    <w:p w14:paraId="5FA9DA1E" w14:textId="779AA22C" w:rsidR="007C74EA" w:rsidRDefault="00525E36">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8428" w:history="1">
        <w:r w:rsidR="007C74EA" w:rsidRPr="00516B22">
          <w:rPr>
            <w:rStyle w:val="Hyperlink"/>
            <w:noProof/>
          </w:rPr>
          <w:t>4.</w:t>
        </w:r>
        <w:r w:rsidR="007C74EA">
          <w:rPr>
            <w:rFonts w:asciiTheme="minorHAnsi" w:eastAsiaTheme="minorEastAsia" w:hAnsiTheme="minorHAnsi" w:cstheme="minorBidi"/>
            <w:b w:val="0"/>
            <w:bCs w:val="0"/>
            <w:caps w:val="0"/>
            <w:noProof/>
            <w:sz w:val="22"/>
            <w:szCs w:val="22"/>
          </w:rPr>
          <w:tab/>
        </w:r>
        <w:r w:rsidR="007C74EA" w:rsidRPr="00516B22">
          <w:rPr>
            <w:rStyle w:val="Hyperlink"/>
            <w:noProof/>
          </w:rPr>
          <w:t>Managing records kept on the basis of this document</w:t>
        </w:r>
        <w:r w:rsidR="007C74EA">
          <w:rPr>
            <w:noProof/>
            <w:webHidden/>
          </w:rPr>
          <w:tab/>
        </w:r>
        <w:r w:rsidR="007C74EA">
          <w:rPr>
            <w:noProof/>
            <w:webHidden/>
          </w:rPr>
          <w:fldChar w:fldCharType="begin"/>
        </w:r>
        <w:r w:rsidR="007C74EA">
          <w:rPr>
            <w:noProof/>
            <w:webHidden/>
          </w:rPr>
          <w:instrText xml:space="preserve"> PAGEREF _Toc148368428 \h </w:instrText>
        </w:r>
        <w:r w:rsidR="007C74EA">
          <w:rPr>
            <w:noProof/>
            <w:webHidden/>
          </w:rPr>
        </w:r>
        <w:r w:rsidR="007C74EA">
          <w:rPr>
            <w:noProof/>
            <w:webHidden/>
          </w:rPr>
          <w:fldChar w:fldCharType="separate"/>
        </w:r>
        <w:r w:rsidR="003056A1">
          <w:rPr>
            <w:noProof/>
            <w:webHidden/>
          </w:rPr>
          <w:t>7</w:t>
        </w:r>
        <w:r w:rsidR="007C74EA">
          <w:rPr>
            <w:noProof/>
            <w:webHidden/>
          </w:rPr>
          <w:fldChar w:fldCharType="end"/>
        </w:r>
      </w:hyperlink>
    </w:p>
    <w:p w14:paraId="1221A737" w14:textId="471C2BE9" w:rsidR="007C74EA" w:rsidRDefault="00525E36">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8429" w:history="1">
        <w:r w:rsidR="007C74EA" w:rsidRPr="00516B22">
          <w:rPr>
            <w:rStyle w:val="Hyperlink"/>
            <w:noProof/>
          </w:rPr>
          <w:t>5.</w:t>
        </w:r>
        <w:r w:rsidR="007C74EA">
          <w:rPr>
            <w:rFonts w:asciiTheme="minorHAnsi" w:eastAsiaTheme="minorEastAsia" w:hAnsiTheme="minorHAnsi" w:cstheme="minorBidi"/>
            <w:b w:val="0"/>
            <w:bCs w:val="0"/>
            <w:caps w:val="0"/>
            <w:noProof/>
            <w:sz w:val="22"/>
            <w:szCs w:val="22"/>
          </w:rPr>
          <w:tab/>
        </w:r>
        <w:r w:rsidR="007C74EA" w:rsidRPr="00516B22">
          <w:rPr>
            <w:rStyle w:val="Hyperlink"/>
            <w:noProof/>
          </w:rPr>
          <w:t>Appendices</w:t>
        </w:r>
        <w:r w:rsidR="007C74EA">
          <w:rPr>
            <w:noProof/>
            <w:webHidden/>
          </w:rPr>
          <w:tab/>
        </w:r>
        <w:r w:rsidR="007C74EA">
          <w:rPr>
            <w:noProof/>
            <w:webHidden/>
          </w:rPr>
          <w:fldChar w:fldCharType="begin"/>
        </w:r>
        <w:r w:rsidR="007C74EA">
          <w:rPr>
            <w:noProof/>
            <w:webHidden/>
          </w:rPr>
          <w:instrText xml:space="preserve"> PAGEREF _Toc148368429 \h </w:instrText>
        </w:r>
        <w:r w:rsidR="007C74EA">
          <w:rPr>
            <w:noProof/>
            <w:webHidden/>
          </w:rPr>
        </w:r>
        <w:r w:rsidR="007C74EA">
          <w:rPr>
            <w:noProof/>
            <w:webHidden/>
          </w:rPr>
          <w:fldChar w:fldCharType="separate"/>
        </w:r>
        <w:r w:rsidR="003056A1">
          <w:rPr>
            <w:noProof/>
            <w:webHidden/>
          </w:rPr>
          <w:t>7</w:t>
        </w:r>
        <w:r w:rsidR="007C74EA">
          <w:rPr>
            <w:noProof/>
            <w:webHidden/>
          </w:rPr>
          <w:fldChar w:fldCharType="end"/>
        </w:r>
      </w:hyperlink>
    </w:p>
    <w:p w14:paraId="0C7DFE73" w14:textId="26B6361E" w:rsidR="00F961E0" w:rsidRPr="00071835" w:rsidRDefault="00034FCC" w:rsidP="00F961E0">
      <w:r w:rsidRPr="00071835">
        <w:rPr>
          <w:b/>
          <w:bCs/>
          <w:caps/>
          <w:sz w:val="20"/>
          <w:szCs w:val="20"/>
        </w:rPr>
        <w:fldChar w:fldCharType="end"/>
      </w:r>
    </w:p>
    <w:p w14:paraId="58974403" w14:textId="77777777" w:rsidR="00F961E0" w:rsidRPr="00071835" w:rsidRDefault="00F37DA3" w:rsidP="00DB37F7">
      <w:pPr>
        <w:pStyle w:val="Heading1"/>
      </w:pPr>
      <w:r w:rsidRPr="00071835">
        <w:br w:type="page"/>
      </w:r>
      <w:bookmarkStart w:id="3" w:name="_Toc262723257"/>
      <w:bookmarkStart w:id="4" w:name="_Toc267048913"/>
      <w:bookmarkStart w:id="5" w:name="_Toc148368421"/>
      <w:r w:rsidRPr="00071835">
        <w:t>Purpose, scope and users</w:t>
      </w:r>
      <w:bookmarkEnd w:id="3"/>
      <w:bookmarkEnd w:id="4"/>
      <w:bookmarkEnd w:id="5"/>
    </w:p>
    <w:p w14:paraId="71BDC384" w14:textId="0D069C62" w:rsidR="00591052" w:rsidRPr="00071835" w:rsidRDefault="00591052" w:rsidP="00591052">
      <w:r w:rsidRPr="00071835">
        <w:t xml:space="preserve">The purpose of this </w:t>
      </w:r>
      <w:r w:rsidR="00071835" w:rsidRPr="00071835">
        <w:t>P</w:t>
      </w:r>
      <w:r w:rsidRPr="00071835">
        <w:t xml:space="preserve">rocedure is to provide a post-market surveillance system so that </w:t>
      </w:r>
      <w:commentRangeStart w:id="6"/>
      <w:r w:rsidRPr="00071835">
        <w:t>[organization name]</w:t>
      </w:r>
      <w:commentRangeEnd w:id="6"/>
      <w:r w:rsidR="008D331E">
        <w:rPr>
          <w:rStyle w:val="CommentReference"/>
        </w:rPr>
        <w:commentReference w:id="6"/>
      </w:r>
      <w:r w:rsidRPr="00071835">
        <w:t xml:space="preserve"> knows at all times what happens to medical device once they go out of production.</w:t>
      </w:r>
    </w:p>
    <w:p w14:paraId="18028B4D" w14:textId="12E9DE09" w:rsidR="00591052" w:rsidRPr="00071835" w:rsidRDefault="00591052" w:rsidP="00591052">
      <w:r w:rsidRPr="00071835">
        <w:t xml:space="preserve">This </w:t>
      </w:r>
      <w:r w:rsidR="00071835" w:rsidRPr="00071835">
        <w:t>P</w:t>
      </w:r>
      <w:r w:rsidRPr="00071835">
        <w:t>rocedure applies to all processes within the Quality Management System (QMS).</w:t>
      </w:r>
    </w:p>
    <w:p w14:paraId="56537AC0" w14:textId="204022B3" w:rsidR="00DB37F7" w:rsidRPr="00071835" w:rsidRDefault="00591052" w:rsidP="00591052">
      <w:r w:rsidRPr="00071835">
        <w:t xml:space="preserve">Users of this document are top management, Management Representative </w:t>
      </w:r>
      <w:commentRangeStart w:id="7"/>
      <w:r w:rsidRPr="00071835">
        <w:t>and person responsible for regulatory compliance (PRRC)</w:t>
      </w:r>
      <w:commentRangeEnd w:id="7"/>
      <w:r w:rsidRPr="00071835">
        <w:rPr>
          <w:rStyle w:val="CommentReference"/>
        </w:rPr>
        <w:commentReference w:id="7"/>
      </w:r>
      <w:r w:rsidRPr="00071835">
        <w:t>.</w:t>
      </w:r>
    </w:p>
    <w:p w14:paraId="577FF7E1" w14:textId="77777777" w:rsidR="00591052" w:rsidRPr="00071835" w:rsidRDefault="00591052" w:rsidP="00591052"/>
    <w:p w14:paraId="5B98EA05" w14:textId="77777777" w:rsidR="00DB35CB" w:rsidRPr="00071835" w:rsidRDefault="00F37DA3" w:rsidP="00DB35CB">
      <w:pPr>
        <w:pStyle w:val="Heading1"/>
      </w:pPr>
      <w:bookmarkStart w:id="8" w:name="_Toc262723258"/>
      <w:bookmarkStart w:id="9" w:name="_Toc267048914"/>
      <w:bookmarkStart w:id="10" w:name="_Toc148368422"/>
      <w:r w:rsidRPr="00071835">
        <w:t>Reference documents</w:t>
      </w:r>
      <w:bookmarkEnd w:id="8"/>
      <w:bookmarkEnd w:id="9"/>
      <w:bookmarkEnd w:id="10"/>
    </w:p>
    <w:p w14:paraId="37443D13" w14:textId="6E767D2A" w:rsidR="00591052" w:rsidRPr="00071835" w:rsidRDefault="00591052" w:rsidP="00591052">
      <w:pPr>
        <w:pStyle w:val="ListParagraph"/>
        <w:numPr>
          <w:ilvl w:val="0"/>
          <w:numId w:val="11"/>
        </w:numPr>
      </w:pPr>
      <w:r w:rsidRPr="00071835">
        <w:t xml:space="preserve">ISO 13485:2016 standard, clauses 7.2.3, </w:t>
      </w:r>
      <w:r w:rsidR="00806544">
        <w:t xml:space="preserve">8.2.1, </w:t>
      </w:r>
      <w:r w:rsidRPr="00071835">
        <w:t>8.2.2, 8.2.3, and 8.3.3</w:t>
      </w:r>
    </w:p>
    <w:p w14:paraId="4FE7D23A" w14:textId="781D3817" w:rsidR="00591052" w:rsidRPr="00071835" w:rsidRDefault="00591052" w:rsidP="00591052">
      <w:pPr>
        <w:pStyle w:val="ListParagraph"/>
        <w:numPr>
          <w:ilvl w:val="0"/>
          <w:numId w:val="11"/>
        </w:numPr>
      </w:pPr>
      <w:r w:rsidRPr="00071835">
        <w:t>ISO 14971:2019, clause 10</w:t>
      </w:r>
    </w:p>
    <w:p w14:paraId="18138DF7" w14:textId="12BF534E" w:rsidR="00591052" w:rsidRPr="00071835" w:rsidRDefault="00591052" w:rsidP="00591052">
      <w:pPr>
        <w:pStyle w:val="ListParagraph"/>
        <w:numPr>
          <w:ilvl w:val="0"/>
          <w:numId w:val="11"/>
        </w:numPr>
      </w:pPr>
      <w:commentRangeStart w:id="11"/>
      <w:r w:rsidRPr="00071835">
        <w:t>MDR 2017/745, article</w:t>
      </w:r>
      <w:r w:rsidR="00414432" w:rsidRPr="00071835">
        <w:t>s</w:t>
      </w:r>
      <w:r w:rsidRPr="00071835">
        <w:t xml:space="preserve"> 10</w:t>
      </w:r>
      <w:r w:rsidR="00806544">
        <w:t>(10)</w:t>
      </w:r>
      <w:r w:rsidRPr="00071835">
        <w:t>,</w:t>
      </w:r>
      <w:r w:rsidR="00806544">
        <w:t xml:space="preserve"> 15,</w:t>
      </w:r>
      <w:r w:rsidRPr="00071835">
        <w:t xml:space="preserve"> 83, 84, 85, 86, Annex III, </w:t>
      </w:r>
      <w:r w:rsidR="007C74EA" w:rsidRPr="00035D10">
        <w:t>Annex IX</w:t>
      </w:r>
      <w:r w:rsidR="007C74EA" w:rsidRPr="00667866">
        <w:rPr>
          <w:rFonts w:asciiTheme="minorHAnsi" w:hAnsiTheme="minorHAnsi" w:cs="Calibri"/>
        </w:rPr>
        <w:t xml:space="preserve"> – </w:t>
      </w:r>
      <w:r w:rsidR="007C74EA" w:rsidRPr="00035D10">
        <w:t>Chapter I</w:t>
      </w:r>
      <w:r w:rsidR="007C74EA">
        <w:t xml:space="preserve">, </w:t>
      </w:r>
      <w:r w:rsidRPr="00071835">
        <w:t>and Annex IV</w:t>
      </w:r>
      <w:r w:rsidR="00806544" w:rsidRPr="00667866">
        <w:rPr>
          <w:rFonts w:asciiTheme="minorHAnsi" w:hAnsiTheme="minorHAnsi" w:cs="Calibri"/>
        </w:rPr>
        <w:t xml:space="preserve"> – </w:t>
      </w:r>
      <w:r w:rsidRPr="00071835">
        <w:t>Part B</w:t>
      </w:r>
      <w:commentRangeEnd w:id="11"/>
      <w:r w:rsidR="008D331E">
        <w:rPr>
          <w:rStyle w:val="CommentReference"/>
        </w:rPr>
        <w:commentReference w:id="11"/>
      </w:r>
    </w:p>
    <w:p w14:paraId="413A014A" w14:textId="77777777" w:rsidR="00591052" w:rsidRPr="00071835" w:rsidRDefault="00591052" w:rsidP="00591052">
      <w:pPr>
        <w:pStyle w:val="ListParagraph"/>
        <w:numPr>
          <w:ilvl w:val="0"/>
          <w:numId w:val="11"/>
        </w:numPr>
      </w:pPr>
      <w:r w:rsidRPr="00071835">
        <w:t>MEDDEV 2.12/2 rev. 2</w:t>
      </w:r>
    </w:p>
    <w:p w14:paraId="18F6936D" w14:textId="77777777" w:rsidR="00591052" w:rsidRPr="00071835" w:rsidRDefault="00591052" w:rsidP="00591052">
      <w:pPr>
        <w:pStyle w:val="ListParagraph"/>
        <w:numPr>
          <w:ilvl w:val="0"/>
          <w:numId w:val="11"/>
        </w:numPr>
      </w:pPr>
      <w:r w:rsidRPr="00071835">
        <w:t>MDCG 2020-7 Post-Market Clinical Follow-up (PMCF) Plan Template A guide for manufacturers and notified bodies</w:t>
      </w:r>
    </w:p>
    <w:p w14:paraId="0B78CA20" w14:textId="189EA397" w:rsidR="00591052" w:rsidRPr="00071835" w:rsidRDefault="00591052" w:rsidP="00591052">
      <w:pPr>
        <w:pStyle w:val="ListParagraph"/>
        <w:numPr>
          <w:ilvl w:val="0"/>
          <w:numId w:val="11"/>
        </w:numPr>
      </w:pPr>
      <w:commentRangeStart w:id="12"/>
      <w:r w:rsidRPr="00071835">
        <w:t>Sales Procedure</w:t>
      </w:r>
      <w:commentRangeEnd w:id="12"/>
      <w:r w:rsidR="00414432" w:rsidRPr="00071835">
        <w:rPr>
          <w:rStyle w:val="CommentReference"/>
        </w:rPr>
        <w:commentReference w:id="12"/>
      </w:r>
    </w:p>
    <w:p w14:paraId="33EED2F1" w14:textId="77777777" w:rsidR="00591052" w:rsidRPr="00071835" w:rsidRDefault="00591052" w:rsidP="00591052">
      <w:pPr>
        <w:pStyle w:val="ListParagraph"/>
        <w:numPr>
          <w:ilvl w:val="0"/>
          <w:numId w:val="11"/>
        </w:numPr>
      </w:pPr>
      <w:commentRangeStart w:id="13"/>
      <w:r w:rsidRPr="00071835">
        <w:t>Procedure for Risk Management</w:t>
      </w:r>
      <w:commentRangeEnd w:id="13"/>
      <w:r w:rsidR="00414432" w:rsidRPr="00071835">
        <w:rPr>
          <w:rStyle w:val="CommentReference"/>
        </w:rPr>
        <w:commentReference w:id="13"/>
      </w:r>
    </w:p>
    <w:p w14:paraId="6C1F2C8F" w14:textId="7CC93635" w:rsidR="00591052" w:rsidRPr="00071835" w:rsidRDefault="00591052" w:rsidP="00591052">
      <w:pPr>
        <w:pStyle w:val="ListParagraph"/>
        <w:numPr>
          <w:ilvl w:val="0"/>
          <w:numId w:val="11"/>
        </w:numPr>
      </w:pPr>
      <w:commentRangeStart w:id="14"/>
      <w:r w:rsidRPr="00071835">
        <w:t>Procedure for Vigilance and Adverse Event Investigation and Reporting</w:t>
      </w:r>
      <w:commentRangeEnd w:id="14"/>
      <w:r w:rsidR="00414432" w:rsidRPr="00071835">
        <w:rPr>
          <w:rStyle w:val="CommentReference"/>
        </w:rPr>
        <w:commentReference w:id="14"/>
      </w:r>
    </w:p>
    <w:p w14:paraId="02FD4EF5" w14:textId="77777777" w:rsidR="00591052" w:rsidRPr="00071835" w:rsidRDefault="00591052" w:rsidP="00591052">
      <w:pPr>
        <w:pStyle w:val="ListParagraph"/>
        <w:numPr>
          <w:ilvl w:val="0"/>
          <w:numId w:val="11"/>
        </w:numPr>
      </w:pPr>
      <w:commentRangeStart w:id="15"/>
      <w:r w:rsidRPr="00071835">
        <w:t>Procedure for Corrective and Preventive Action</w:t>
      </w:r>
      <w:commentRangeEnd w:id="15"/>
      <w:r w:rsidR="00414432" w:rsidRPr="00071835">
        <w:rPr>
          <w:rStyle w:val="CommentReference"/>
        </w:rPr>
        <w:commentReference w:id="15"/>
      </w:r>
    </w:p>
    <w:p w14:paraId="4ACABAC9" w14:textId="77777777" w:rsidR="00591052" w:rsidRPr="00071835" w:rsidRDefault="00591052" w:rsidP="00591052">
      <w:pPr>
        <w:pStyle w:val="ListParagraph"/>
        <w:numPr>
          <w:ilvl w:val="0"/>
          <w:numId w:val="11"/>
        </w:numPr>
      </w:pPr>
      <w:commentRangeStart w:id="16"/>
      <w:r w:rsidRPr="00071835">
        <w:t>Procedure for Data Analysis</w:t>
      </w:r>
      <w:commentRangeEnd w:id="16"/>
      <w:r w:rsidR="00414432" w:rsidRPr="00071835">
        <w:rPr>
          <w:rStyle w:val="CommentReference"/>
        </w:rPr>
        <w:commentReference w:id="16"/>
      </w:r>
    </w:p>
    <w:p w14:paraId="7A5053B4" w14:textId="574897CA" w:rsidR="00DB37F7" w:rsidRPr="00071835" w:rsidRDefault="00591052" w:rsidP="00591052">
      <w:pPr>
        <w:pStyle w:val="ListParagraph"/>
        <w:numPr>
          <w:ilvl w:val="0"/>
          <w:numId w:val="11"/>
        </w:numPr>
      </w:pPr>
      <w:commentRangeStart w:id="17"/>
      <w:r w:rsidRPr="00071835">
        <w:t>Quality Manual</w:t>
      </w:r>
      <w:commentRangeEnd w:id="17"/>
      <w:r w:rsidR="00414432" w:rsidRPr="00071835">
        <w:rPr>
          <w:rStyle w:val="CommentReference"/>
        </w:rPr>
        <w:commentReference w:id="17"/>
      </w:r>
    </w:p>
    <w:p w14:paraId="67C24A90" w14:textId="77777777" w:rsidR="00591052" w:rsidRPr="00071835" w:rsidRDefault="00591052" w:rsidP="00591052"/>
    <w:p w14:paraId="76A81C3F" w14:textId="48D35879" w:rsidR="00DB35CB" w:rsidRPr="00071835" w:rsidRDefault="00591052" w:rsidP="00591052">
      <w:pPr>
        <w:pStyle w:val="Heading1"/>
      </w:pPr>
      <w:bookmarkStart w:id="18" w:name="_Toc148368423"/>
      <w:r w:rsidRPr="00071835">
        <w:t>Post-market surveillance</w:t>
      </w:r>
      <w:bookmarkEnd w:id="18"/>
    </w:p>
    <w:p w14:paraId="552192D0" w14:textId="77777777" w:rsidR="00591052" w:rsidRPr="00071835" w:rsidRDefault="00591052" w:rsidP="00591052">
      <w:pPr>
        <w:pStyle w:val="Heading2"/>
      </w:pPr>
      <w:bookmarkStart w:id="19" w:name="_Toc148368424"/>
      <w:r w:rsidRPr="00071835">
        <w:t>Gathering the data and Post-Market Surveillance Plan</w:t>
      </w:r>
      <w:bookmarkEnd w:id="19"/>
    </w:p>
    <w:p w14:paraId="040A0B0F" w14:textId="1B6F9FFA" w:rsidR="00591052" w:rsidRPr="00071835" w:rsidRDefault="00591052" w:rsidP="00591052">
      <w:r w:rsidRPr="00071835">
        <w:t>PRRC is responsible for preparing the Post-Market Surveillance Plan, and assigning tasks for gathering the following data needed for Post-market surveillance:</w:t>
      </w:r>
    </w:p>
    <w:p w14:paraId="1056FB98" w14:textId="77777777" w:rsidR="00591052" w:rsidRPr="00071835" w:rsidRDefault="00591052" w:rsidP="00591052">
      <w:pPr>
        <w:pStyle w:val="ListParagraph"/>
        <w:numPr>
          <w:ilvl w:val="0"/>
          <w:numId w:val="12"/>
        </w:numPr>
      </w:pPr>
      <w:r w:rsidRPr="00071835">
        <w:t>Serious incidents and field safety corrective actions</w:t>
      </w:r>
    </w:p>
    <w:p w14:paraId="73FEB215" w14:textId="77777777" w:rsidR="00591052" w:rsidRDefault="00591052" w:rsidP="00591052">
      <w:pPr>
        <w:pStyle w:val="ListParagraph"/>
        <w:numPr>
          <w:ilvl w:val="1"/>
          <w:numId w:val="12"/>
        </w:numPr>
      </w:pPr>
      <w:r w:rsidRPr="00071835">
        <w:t>Field safety corrective actions (type/rate)</w:t>
      </w:r>
    </w:p>
    <w:p w14:paraId="634D71FD" w14:textId="3E0ACBD3" w:rsidR="00C8741C" w:rsidRDefault="00C8741C" w:rsidP="00591052">
      <w:pPr>
        <w:pStyle w:val="ListParagraph"/>
        <w:numPr>
          <w:ilvl w:val="1"/>
          <w:numId w:val="12"/>
        </w:numPr>
      </w:pPr>
      <w:r>
        <w:t>…</w:t>
      </w:r>
    </w:p>
    <w:p w14:paraId="5FB6B0AF" w14:textId="77777777" w:rsidR="00C8741C" w:rsidRDefault="00C8741C" w:rsidP="00C8741C">
      <w:pPr>
        <w:pStyle w:val="ListParagraph"/>
      </w:pPr>
    </w:p>
    <w:p w14:paraId="4AC9BC7D" w14:textId="77777777" w:rsidR="00BC1440" w:rsidRDefault="00BC1440" w:rsidP="00BC1440">
      <w:pPr>
        <w:spacing w:after="0"/>
        <w:jc w:val="center"/>
      </w:pPr>
      <w:r w:rsidRPr="009506FE">
        <w:t>** END OF FREE PREVIEW **</w:t>
      </w:r>
    </w:p>
    <w:p w14:paraId="3850EAFE" w14:textId="77777777" w:rsidR="00BC1440" w:rsidRPr="009506FE" w:rsidRDefault="00BC1440" w:rsidP="00BC1440">
      <w:pPr>
        <w:spacing w:after="0"/>
        <w:jc w:val="center"/>
      </w:pPr>
    </w:p>
    <w:p w14:paraId="1353D51D" w14:textId="77777777" w:rsidR="00BC1440" w:rsidRDefault="00BC1440" w:rsidP="00BC1440">
      <w:r>
        <w:t>If you have decided that the EU MDR Documentation Toolkit is the right choice for your company, please see the table below to choose the toolkit with the required expert support level.</w:t>
      </w:r>
    </w:p>
    <w:p w14:paraId="12236DEA" w14:textId="77777777" w:rsidR="00BC1440" w:rsidRDefault="00BC1440" w:rsidP="00BC1440">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BC1440" w:rsidRPr="008C6D70" w14:paraId="5A51A18D" w14:textId="77777777" w:rsidTr="002A49F2">
        <w:tc>
          <w:tcPr>
            <w:tcW w:w="3150" w:type="dxa"/>
            <w:vAlign w:val="center"/>
          </w:tcPr>
          <w:p w14:paraId="743C5C35" w14:textId="77777777" w:rsidR="00BC1440" w:rsidRPr="008C6D70" w:rsidRDefault="00BC1440" w:rsidP="002A49F2">
            <w:pPr>
              <w:pStyle w:val="NoSpacing"/>
              <w:jc w:val="center"/>
              <w:rPr>
                <w:sz w:val="26"/>
                <w:szCs w:val="26"/>
              </w:rPr>
            </w:pPr>
          </w:p>
        </w:tc>
        <w:tc>
          <w:tcPr>
            <w:tcW w:w="1933" w:type="dxa"/>
            <w:vAlign w:val="center"/>
          </w:tcPr>
          <w:p w14:paraId="4AAA51EB" w14:textId="77777777" w:rsidR="00BC1440" w:rsidRPr="008C6D70" w:rsidRDefault="00BC1440" w:rsidP="002A49F2">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0315772C" w14:textId="77777777" w:rsidR="00BC1440" w:rsidRPr="008C6D70" w:rsidRDefault="00BC1440" w:rsidP="002A49F2">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69897B72" w14:textId="77777777" w:rsidR="00BC1440" w:rsidRPr="008C6D70" w:rsidRDefault="00BC1440" w:rsidP="002A49F2">
            <w:pPr>
              <w:pStyle w:val="NoSpacing"/>
              <w:jc w:val="center"/>
              <w:rPr>
                <w:b/>
                <w:color w:val="686868"/>
                <w:sz w:val="26"/>
                <w:szCs w:val="26"/>
              </w:rPr>
            </w:pPr>
            <w:r w:rsidRPr="008C6D70">
              <w:rPr>
                <w:b/>
                <w:color w:val="686868"/>
                <w:sz w:val="26"/>
                <w:szCs w:val="26"/>
              </w:rPr>
              <w:t>Power toolkit</w:t>
            </w:r>
          </w:p>
        </w:tc>
      </w:tr>
      <w:tr w:rsidR="00BC1440" w:rsidRPr="008C6D70" w14:paraId="60C6F958" w14:textId="77777777" w:rsidTr="002A49F2">
        <w:tc>
          <w:tcPr>
            <w:tcW w:w="3150" w:type="dxa"/>
            <w:vAlign w:val="center"/>
          </w:tcPr>
          <w:p w14:paraId="08AF869A" w14:textId="77777777" w:rsidR="00BC1440" w:rsidRPr="008C6D70" w:rsidRDefault="00BC1440" w:rsidP="002A49F2">
            <w:pPr>
              <w:pStyle w:val="NoSpacing"/>
              <w:jc w:val="center"/>
              <w:rPr>
                <w:sz w:val="36"/>
                <w:szCs w:val="36"/>
              </w:rPr>
            </w:pPr>
          </w:p>
        </w:tc>
        <w:tc>
          <w:tcPr>
            <w:tcW w:w="1933" w:type="dxa"/>
            <w:vAlign w:val="center"/>
          </w:tcPr>
          <w:p w14:paraId="50CB7665" w14:textId="77777777" w:rsidR="00BC1440" w:rsidRPr="008C6D70" w:rsidRDefault="00BC1440" w:rsidP="002A49F2">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2889E03A" w14:textId="77777777" w:rsidR="00BC1440" w:rsidRPr="008C6D70" w:rsidRDefault="00BC1440" w:rsidP="002A49F2">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4C6BDB40" w14:textId="77777777" w:rsidR="00BC1440" w:rsidRPr="008C6D70" w:rsidRDefault="00BC1440" w:rsidP="002A49F2">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BC1440" w:rsidRPr="008E6D11" w14:paraId="0C5C2876" w14:textId="77777777" w:rsidTr="002A49F2">
        <w:tc>
          <w:tcPr>
            <w:tcW w:w="3150" w:type="dxa"/>
            <w:shd w:val="clear" w:color="auto" w:fill="F2F2F2"/>
            <w:vAlign w:val="center"/>
          </w:tcPr>
          <w:p w14:paraId="4C588FAB" w14:textId="77777777" w:rsidR="00BC1440" w:rsidRPr="008C6D70" w:rsidRDefault="00BC1440" w:rsidP="002A49F2">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7C8C5FC5" w14:textId="77777777" w:rsidR="00BC1440" w:rsidRPr="00353855" w:rsidRDefault="00BC1440" w:rsidP="002A49F2">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304301CD" w14:textId="77777777" w:rsidR="00BC1440" w:rsidRPr="00353855" w:rsidRDefault="00BC1440" w:rsidP="002A49F2">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5A8EB6B" w14:textId="77777777" w:rsidR="00BC1440" w:rsidRPr="00581FC9" w:rsidRDefault="00BC1440" w:rsidP="002A49F2">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BC1440" w14:paraId="201C5F08" w14:textId="77777777" w:rsidTr="002A49F2">
        <w:tc>
          <w:tcPr>
            <w:tcW w:w="3150" w:type="dxa"/>
            <w:vAlign w:val="center"/>
          </w:tcPr>
          <w:p w14:paraId="4689005F" w14:textId="77777777" w:rsidR="00BC1440" w:rsidRPr="008C6D70" w:rsidRDefault="00BC1440" w:rsidP="002A49F2">
            <w:pPr>
              <w:pStyle w:val="NoSpacing"/>
            </w:pPr>
            <w:r w:rsidRPr="008C6D70">
              <w:rPr>
                <w:rFonts w:cs="Calibri"/>
                <w:b/>
                <w:color w:val="000000"/>
                <w:lang w:eastAsia="pt-BR"/>
              </w:rPr>
              <w:t>Email support</w:t>
            </w:r>
          </w:p>
        </w:tc>
        <w:tc>
          <w:tcPr>
            <w:tcW w:w="1933" w:type="dxa"/>
            <w:vAlign w:val="center"/>
          </w:tcPr>
          <w:p w14:paraId="10E01D9F" w14:textId="77777777" w:rsidR="00BC1440" w:rsidRDefault="00BC1440" w:rsidP="002A49F2">
            <w:pPr>
              <w:pStyle w:val="NoSpacing"/>
              <w:jc w:val="center"/>
            </w:pPr>
            <w:r w:rsidRPr="009506FE">
              <w:rPr>
                <w:rFonts w:cs="Calibri"/>
                <w:color w:val="000000"/>
                <w:lang w:eastAsia="pt-BR"/>
              </w:rPr>
              <w:t>10 questions per month</w:t>
            </w:r>
          </w:p>
        </w:tc>
        <w:tc>
          <w:tcPr>
            <w:tcW w:w="1933" w:type="dxa"/>
            <w:vAlign w:val="center"/>
          </w:tcPr>
          <w:p w14:paraId="00DD1FD4" w14:textId="77777777" w:rsidR="00BC1440" w:rsidRDefault="00BC1440" w:rsidP="002A49F2">
            <w:pPr>
              <w:pStyle w:val="NoSpacing"/>
              <w:jc w:val="center"/>
            </w:pPr>
            <w:r w:rsidRPr="009506FE">
              <w:rPr>
                <w:rFonts w:cs="Calibri"/>
                <w:color w:val="000000"/>
                <w:lang w:eastAsia="pt-BR"/>
              </w:rPr>
              <w:t>Unlimited</w:t>
            </w:r>
          </w:p>
        </w:tc>
        <w:tc>
          <w:tcPr>
            <w:tcW w:w="1934" w:type="dxa"/>
            <w:vAlign w:val="center"/>
          </w:tcPr>
          <w:p w14:paraId="3E1AAAEF" w14:textId="77777777" w:rsidR="00BC1440" w:rsidRDefault="00BC1440" w:rsidP="002A49F2">
            <w:pPr>
              <w:pStyle w:val="NoSpacing"/>
              <w:jc w:val="center"/>
            </w:pPr>
            <w:r w:rsidRPr="009506FE">
              <w:rPr>
                <w:rFonts w:cs="Calibri"/>
                <w:color w:val="000000"/>
                <w:lang w:eastAsia="pt-BR"/>
              </w:rPr>
              <w:t>Unlimited</w:t>
            </w:r>
          </w:p>
        </w:tc>
      </w:tr>
      <w:tr w:rsidR="00BC1440" w14:paraId="7A728CDE" w14:textId="77777777" w:rsidTr="002A49F2">
        <w:tc>
          <w:tcPr>
            <w:tcW w:w="3150" w:type="dxa"/>
            <w:shd w:val="clear" w:color="auto" w:fill="F2F2F2"/>
            <w:vAlign w:val="center"/>
          </w:tcPr>
          <w:p w14:paraId="7B766A6D" w14:textId="77777777" w:rsidR="00BC1440" w:rsidRPr="008C6D70" w:rsidRDefault="00BC1440" w:rsidP="002A49F2">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08DDE477" w14:textId="77777777" w:rsidR="00BC1440" w:rsidRDefault="00BC1440" w:rsidP="002A49F2">
            <w:pPr>
              <w:pStyle w:val="NoSpacing"/>
              <w:jc w:val="center"/>
            </w:pPr>
            <w:r w:rsidRPr="009506FE">
              <w:rPr>
                <w:rFonts w:cs="Calibri"/>
                <w:color w:val="000000"/>
                <w:lang w:eastAsia="pt-BR"/>
              </w:rPr>
              <w:t>1 hour</w:t>
            </w:r>
          </w:p>
        </w:tc>
        <w:tc>
          <w:tcPr>
            <w:tcW w:w="1933" w:type="dxa"/>
            <w:shd w:val="clear" w:color="auto" w:fill="F2F2F2"/>
            <w:vAlign w:val="center"/>
          </w:tcPr>
          <w:p w14:paraId="43926F4A" w14:textId="77777777" w:rsidR="00BC1440" w:rsidRDefault="00BC1440" w:rsidP="002A49F2">
            <w:pPr>
              <w:pStyle w:val="NoSpacing"/>
              <w:jc w:val="center"/>
            </w:pPr>
            <w:r w:rsidRPr="009506FE">
              <w:rPr>
                <w:rFonts w:cs="Calibri"/>
                <w:color w:val="000000"/>
                <w:lang w:eastAsia="pt-BR"/>
              </w:rPr>
              <w:t>5 hours</w:t>
            </w:r>
          </w:p>
        </w:tc>
        <w:tc>
          <w:tcPr>
            <w:tcW w:w="1934" w:type="dxa"/>
            <w:shd w:val="clear" w:color="auto" w:fill="F2F2F2"/>
            <w:vAlign w:val="center"/>
          </w:tcPr>
          <w:p w14:paraId="63C43D5A" w14:textId="77777777" w:rsidR="00BC1440" w:rsidRDefault="00BC1440" w:rsidP="002A49F2">
            <w:pPr>
              <w:pStyle w:val="NoSpacing"/>
              <w:jc w:val="center"/>
            </w:pPr>
            <w:r w:rsidRPr="009506FE">
              <w:rPr>
                <w:rFonts w:cs="Calibri"/>
                <w:color w:val="000000"/>
                <w:lang w:eastAsia="pt-BR"/>
              </w:rPr>
              <w:t>15 hours</w:t>
            </w:r>
          </w:p>
        </w:tc>
      </w:tr>
      <w:tr w:rsidR="00BC1440" w14:paraId="1E3D3F2F" w14:textId="77777777" w:rsidTr="002A49F2">
        <w:tc>
          <w:tcPr>
            <w:tcW w:w="3150" w:type="dxa"/>
            <w:vAlign w:val="center"/>
          </w:tcPr>
          <w:p w14:paraId="1793256D" w14:textId="77777777" w:rsidR="00BC1440" w:rsidRPr="008C6D70" w:rsidRDefault="00BC1440" w:rsidP="002A49F2">
            <w:pPr>
              <w:pStyle w:val="NoSpacing"/>
            </w:pPr>
            <w:r w:rsidRPr="008C6D70">
              <w:rPr>
                <w:rFonts w:cs="Calibri"/>
                <w:b/>
                <w:bCs/>
                <w:color w:val="000000"/>
                <w:lang w:eastAsia="pt-BR"/>
              </w:rPr>
              <w:t>Expert review (completed documents)</w:t>
            </w:r>
          </w:p>
        </w:tc>
        <w:tc>
          <w:tcPr>
            <w:tcW w:w="1933" w:type="dxa"/>
            <w:vAlign w:val="center"/>
          </w:tcPr>
          <w:p w14:paraId="030F74FB" w14:textId="77777777" w:rsidR="00BC1440" w:rsidRDefault="00BC1440" w:rsidP="002A49F2">
            <w:pPr>
              <w:pStyle w:val="NoSpacing"/>
              <w:jc w:val="center"/>
            </w:pPr>
            <w:r w:rsidRPr="009506FE">
              <w:rPr>
                <w:rFonts w:cs="Calibri"/>
                <w:color w:val="000000"/>
                <w:lang w:eastAsia="pt-BR"/>
              </w:rPr>
              <w:t>1 document</w:t>
            </w:r>
          </w:p>
        </w:tc>
        <w:tc>
          <w:tcPr>
            <w:tcW w:w="1933" w:type="dxa"/>
            <w:vAlign w:val="center"/>
          </w:tcPr>
          <w:p w14:paraId="0307855F" w14:textId="77777777" w:rsidR="00BC1440" w:rsidRDefault="00BC1440" w:rsidP="002A49F2">
            <w:pPr>
              <w:pStyle w:val="NoSpacing"/>
              <w:jc w:val="center"/>
            </w:pPr>
            <w:r w:rsidRPr="009506FE">
              <w:rPr>
                <w:rFonts w:cs="Calibri"/>
                <w:color w:val="000000"/>
                <w:lang w:eastAsia="pt-BR"/>
              </w:rPr>
              <w:t>5 documents</w:t>
            </w:r>
          </w:p>
        </w:tc>
        <w:tc>
          <w:tcPr>
            <w:tcW w:w="1934" w:type="dxa"/>
            <w:vAlign w:val="center"/>
          </w:tcPr>
          <w:p w14:paraId="52944C3A" w14:textId="77777777" w:rsidR="00BC1440" w:rsidRDefault="00BC1440" w:rsidP="002A49F2">
            <w:pPr>
              <w:pStyle w:val="NoSpacing"/>
              <w:jc w:val="center"/>
            </w:pPr>
            <w:r w:rsidRPr="009506FE">
              <w:rPr>
                <w:rFonts w:cs="Calibri"/>
                <w:color w:val="000000"/>
                <w:lang w:eastAsia="pt-BR"/>
              </w:rPr>
              <w:t>15 documents</w:t>
            </w:r>
          </w:p>
        </w:tc>
      </w:tr>
      <w:tr w:rsidR="00BC1440" w:rsidRPr="009453B2" w14:paraId="1B9237D6" w14:textId="77777777" w:rsidTr="002A49F2">
        <w:tc>
          <w:tcPr>
            <w:tcW w:w="3150" w:type="dxa"/>
            <w:shd w:val="clear" w:color="auto" w:fill="F2F2F2"/>
            <w:vAlign w:val="center"/>
          </w:tcPr>
          <w:p w14:paraId="2EADB269" w14:textId="77777777" w:rsidR="00BC1440" w:rsidRPr="008C6D70" w:rsidRDefault="00BC1440" w:rsidP="002A49F2">
            <w:pPr>
              <w:pStyle w:val="NoSpacing"/>
            </w:pPr>
            <w:r w:rsidRPr="008C6D70">
              <w:rPr>
                <w:rFonts w:cs="Calibri"/>
                <w:b/>
                <w:bCs/>
                <w:color w:val="000000"/>
                <w:lang w:eastAsia="pt-BR"/>
              </w:rPr>
              <w:t>Pre-audit check</w:t>
            </w:r>
          </w:p>
        </w:tc>
        <w:tc>
          <w:tcPr>
            <w:tcW w:w="1933" w:type="dxa"/>
            <w:shd w:val="clear" w:color="auto" w:fill="F2F2F2"/>
            <w:vAlign w:val="center"/>
          </w:tcPr>
          <w:p w14:paraId="58A232CC" w14:textId="77777777" w:rsidR="00BC1440" w:rsidRPr="00353855" w:rsidRDefault="00BC1440" w:rsidP="002A49F2">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61838EFA" w14:textId="77777777" w:rsidR="00BC1440" w:rsidRPr="00353855" w:rsidRDefault="00BC1440" w:rsidP="002A49F2">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0F1108FB" w14:textId="77777777" w:rsidR="00BC1440" w:rsidRPr="00353855" w:rsidRDefault="00BC1440" w:rsidP="002A49F2">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BC1440" w:rsidRPr="00353855" w14:paraId="14CFA57E" w14:textId="77777777" w:rsidTr="002A49F2">
        <w:tc>
          <w:tcPr>
            <w:tcW w:w="3150" w:type="dxa"/>
            <w:vAlign w:val="center"/>
          </w:tcPr>
          <w:p w14:paraId="5374DE7D" w14:textId="77777777" w:rsidR="00BC1440" w:rsidRPr="00353855" w:rsidRDefault="00BC1440" w:rsidP="002A49F2">
            <w:pPr>
              <w:pStyle w:val="NoSpacing"/>
              <w:jc w:val="center"/>
            </w:pPr>
          </w:p>
        </w:tc>
        <w:tc>
          <w:tcPr>
            <w:tcW w:w="1933" w:type="dxa"/>
            <w:vAlign w:val="center"/>
          </w:tcPr>
          <w:p w14:paraId="458841C5" w14:textId="77777777" w:rsidR="00BC1440" w:rsidRPr="00353855" w:rsidRDefault="00BC1440" w:rsidP="002A49F2">
            <w:pPr>
              <w:pStyle w:val="NoSpacing"/>
              <w:jc w:val="center"/>
            </w:pPr>
            <w:hyperlink r:id="rId11" w:history="1">
              <w:r w:rsidRPr="00353855">
                <w:rPr>
                  <w:rStyle w:val="Hyperlink"/>
                  <w:b/>
                </w:rPr>
                <w:t>ORDER NOW</w:t>
              </w:r>
            </w:hyperlink>
          </w:p>
        </w:tc>
        <w:tc>
          <w:tcPr>
            <w:tcW w:w="1933" w:type="dxa"/>
            <w:vAlign w:val="center"/>
          </w:tcPr>
          <w:p w14:paraId="174FECAC" w14:textId="77777777" w:rsidR="00BC1440" w:rsidRPr="00353855" w:rsidRDefault="00BC1440" w:rsidP="002A49F2">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70374E9C" w14:textId="77777777" w:rsidR="00BC1440" w:rsidRPr="00353855" w:rsidRDefault="00BC1440" w:rsidP="002A49F2">
            <w:pPr>
              <w:pStyle w:val="NoSpacing"/>
              <w:jc w:val="center"/>
            </w:pPr>
            <w:hyperlink r:id="rId13" w:history="1">
              <w:r w:rsidRPr="00353855">
                <w:rPr>
                  <w:rStyle w:val="Hyperlink"/>
                  <w:rFonts w:cs="Calibri"/>
                  <w:b/>
                  <w:bCs/>
                  <w:lang w:eastAsia="pt-BR"/>
                </w:rPr>
                <w:t>ORDER NOW</w:t>
              </w:r>
            </w:hyperlink>
          </w:p>
        </w:tc>
      </w:tr>
      <w:tr w:rsidR="00BC1440" w14:paraId="30D888FA" w14:textId="77777777" w:rsidTr="002A49F2">
        <w:tc>
          <w:tcPr>
            <w:tcW w:w="3150" w:type="dxa"/>
            <w:vAlign w:val="center"/>
          </w:tcPr>
          <w:p w14:paraId="7D0C9F1F" w14:textId="77777777" w:rsidR="00BC1440" w:rsidRDefault="00BC1440" w:rsidP="002A49F2">
            <w:pPr>
              <w:pStyle w:val="NoSpacing"/>
              <w:jc w:val="center"/>
            </w:pPr>
          </w:p>
        </w:tc>
        <w:tc>
          <w:tcPr>
            <w:tcW w:w="5800" w:type="dxa"/>
            <w:gridSpan w:val="3"/>
            <w:vAlign w:val="center"/>
          </w:tcPr>
          <w:p w14:paraId="68416BFC" w14:textId="77777777" w:rsidR="00BC1440" w:rsidRDefault="00BC1440" w:rsidP="002A49F2">
            <w:pPr>
              <w:pStyle w:val="NoSpacing"/>
              <w:jc w:val="center"/>
            </w:pPr>
            <w:r w:rsidRPr="009506FE">
              <w:rPr>
                <w:rFonts w:cs="Calibri"/>
                <w:bCs/>
                <w:noProof/>
                <w:color w:val="808080" w:themeColor="background1" w:themeShade="80"/>
                <w:lang w:val="en-GB" w:eastAsia="pt-BR"/>
              </w:rPr>
              <w:t>(click the link above using CTRL+click)</w:t>
            </w:r>
          </w:p>
        </w:tc>
      </w:tr>
    </w:tbl>
    <w:p w14:paraId="7E0B9DE8" w14:textId="77777777" w:rsidR="00BC1440" w:rsidRDefault="00BC1440" w:rsidP="00BC1440">
      <w:pPr>
        <w:spacing w:after="0" w:line="240" w:lineRule="auto"/>
      </w:pPr>
    </w:p>
    <w:p w14:paraId="193E38F2" w14:textId="77777777" w:rsidR="00C8741C" w:rsidRPr="00071835" w:rsidRDefault="00C8741C" w:rsidP="00BC1440">
      <w:pPr>
        <w:spacing w:after="0"/>
        <w:jc w:val="center"/>
      </w:pPr>
      <w:bookmarkStart w:id="20" w:name="_GoBack"/>
      <w:bookmarkEnd w:id="20"/>
    </w:p>
    <w:sectPr w:rsidR="00C8741C" w:rsidRPr="00071835" w:rsidSect="00F961E0">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20T15:24:00Z" w:initials="AES">
    <w:p w14:paraId="58A3904C" w14:textId="3A478C3C" w:rsidR="00A97D92" w:rsidRPr="00A97D92" w:rsidRDefault="00A97D92">
      <w:pPr>
        <w:pStyle w:val="CommentText"/>
        <w:rPr>
          <w:rFonts w:eastAsia="Times New Roman"/>
        </w:rPr>
      </w:pPr>
      <w:r>
        <w:rPr>
          <w:rStyle w:val="CommentReference"/>
        </w:rPr>
        <w:annotationRef/>
      </w:r>
      <w:r w:rsidRPr="00A97D92">
        <w:rPr>
          <w:rFonts w:eastAsia="Times New Roman"/>
          <w:sz w:val="16"/>
          <w:szCs w:val="16"/>
        </w:rPr>
        <w:annotationRef/>
      </w:r>
      <w:r w:rsidRPr="00A97D92">
        <w:rPr>
          <w:rFonts w:eastAsia="Times New Roman"/>
        </w:rPr>
        <w:t>All fields in this document marked by square brackets [ ] must be filled in.</w:t>
      </w:r>
    </w:p>
  </w:comment>
  <w:comment w:id="1" w:author="Advisera" w:date="2023-09-13T13:12:00Z" w:initials="AES">
    <w:p w14:paraId="33A35E70" w14:textId="77777777" w:rsidR="00A97D92" w:rsidRDefault="00A97D92" w:rsidP="00A97D92">
      <w:pPr>
        <w:pStyle w:val="CommentText"/>
      </w:pPr>
      <w:r>
        <w:rPr>
          <w:rStyle w:val="CommentReference"/>
        </w:rPr>
        <w:annotationRef/>
      </w:r>
      <w:r w:rsidRPr="00097962">
        <w:rPr>
          <w:sz w:val="16"/>
          <w:szCs w:val="16"/>
        </w:rPr>
        <w:annotationRef/>
      </w:r>
      <w:r w:rsidRPr="00097962">
        <w:rPr>
          <w:sz w:val="16"/>
          <w:szCs w:val="16"/>
        </w:rPr>
        <w:annotationRef/>
      </w:r>
      <w:r w:rsidRPr="00097962">
        <w:rPr>
          <w:sz w:val="16"/>
          <w:szCs w:val="16"/>
        </w:rPr>
        <w:annotationRef/>
      </w:r>
      <w:r w:rsidRPr="00097962">
        <w:t>The document coding system should be in line with the organization's existing system for document coding; in case such a system is not in place, this line may be deleted.</w:t>
      </w:r>
    </w:p>
  </w:comment>
  <w:comment w:id="2" w:author="Advisera" w:date="2023-09-13T13:04:00Z" w:initials="AES">
    <w:p w14:paraId="1D6AB5DF" w14:textId="77777777" w:rsidR="00A97D92" w:rsidRDefault="00A97D92" w:rsidP="00A97D92">
      <w:pPr>
        <w:pStyle w:val="CommentText"/>
      </w:pPr>
      <w:r>
        <w:rPr>
          <w:rStyle w:val="CommentReference"/>
        </w:rPr>
        <w:annotationRef/>
      </w:r>
      <w:r w:rsidRPr="00EC299F">
        <w:rPr>
          <w:sz w:val="16"/>
          <w:szCs w:val="16"/>
        </w:rPr>
        <w:annotationRef/>
      </w:r>
      <w:r w:rsidRPr="00EC299F">
        <w:rPr>
          <w:sz w:val="16"/>
          <w:szCs w:val="16"/>
        </w:rPr>
        <w:annotationRef/>
      </w:r>
      <w:r w:rsidRPr="00EC299F">
        <w:t>This is only necessary if document is in paper form; otherwise, this table should be deleted.</w:t>
      </w:r>
    </w:p>
  </w:comment>
  <w:comment w:id="6" w:author="Advisera" w:date="2023-09-29T14:11:00Z" w:initials="AES">
    <w:p w14:paraId="02EE650E" w14:textId="2F84C0B5" w:rsidR="008D331E" w:rsidRPr="008D331E" w:rsidRDefault="008D331E">
      <w:pPr>
        <w:pStyle w:val="CommentText"/>
        <w:rPr>
          <w:rFonts w:eastAsia="Times New Roman"/>
        </w:rPr>
      </w:pPr>
      <w:r>
        <w:rPr>
          <w:rStyle w:val="CommentReference"/>
        </w:rPr>
        <w:annotationRef/>
      </w:r>
      <w:r w:rsidRPr="008D331E">
        <w:rPr>
          <w:rFonts w:eastAsia="Times New Roman"/>
          <w:sz w:val="16"/>
          <w:szCs w:val="16"/>
        </w:rPr>
        <w:annotationRef/>
      </w:r>
      <w:r w:rsidRPr="008D331E">
        <w:rPr>
          <w:rFonts w:eastAsia="Times New Roman"/>
        </w:rPr>
        <w:t>Include the name of your organization.</w:t>
      </w:r>
    </w:p>
  </w:comment>
  <w:comment w:id="7" w:author="Advisera" w:date="2023-09-29T13:06:00Z" w:initials="AES">
    <w:p w14:paraId="63CBAAAD" w14:textId="1911C658" w:rsidR="00591052" w:rsidRPr="00591052" w:rsidRDefault="00591052">
      <w:pPr>
        <w:pStyle w:val="CommentText"/>
        <w:rPr>
          <w:rFonts w:eastAsia="Times New Roman"/>
        </w:rPr>
      </w:pPr>
      <w:r>
        <w:rPr>
          <w:rStyle w:val="CommentReference"/>
        </w:rPr>
        <w:annotationRef/>
      </w:r>
      <w:r>
        <w:rPr>
          <w:rStyle w:val="CommentReference"/>
        </w:rPr>
        <w:annotationRef/>
      </w:r>
      <w:r w:rsidRPr="00591052">
        <w:rPr>
          <w:rFonts w:eastAsia="Times New Roman"/>
          <w:sz w:val="16"/>
          <w:szCs w:val="16"/>
        </w:rPr>
        <w:annotationRef/>
      </w:r>
      <w:r w:rsidRPr="00591052">
        <w:rPr>
          <w:rFonts w:eastAsia="Times New Roman"/>
        </w:rPr>
        <w:t xml:space="preserve">If </w:t>
      </w:r>
      <w:r>
        <w:rPr>
          <w:rFonts w:eastAsia="Times New Roman"/>
        </w:rPr>
        <w:t>p</w:t>
      </w:r>
      <w:r w:rsidRPr="00591052">
        <w:rPr>
          <w:rFonts w:eastAsia="Times New Roman"/>
        </w:rPr>
        <w:t>erson</w:t>
      </w:r>
      <w:r w:rsidRPr="00591052">
        <w:rPr>
          <w:rFonts w:eastAsia="Times New Roman"/>
          <w:color w:val="FF0000"/>
        </w:rPr>
        <w:t xml:space="preserve"> </w:t>
      </w:r>
      <w:r>
        <w:rPr>
          <w:rFonts w:eastAsia="Times New Roman"/>
        </w:rPr>
        <w:t>r</w:t>
      </w:r>
      <w:r w:rsidRPr="00591052">
        <w:rPr>
          <w:rFonts w:eastAsia="Times New Roman"/>
        </w:rPr>
        <w:t xml:space="preserve">esponsible for </w:t>
      </w:r>
      <w:r>
        <w:rPr>
          <w:rFonts w:eastAsia="Times New Roman"/>
        </w:rPr>
        <w:t>r</w:t>
      </w:r>
      <w:r w:rsidRPr="00591052">
        <w:rPr>
          <w:rFonts w:eastAsia="Times New Roman"/>
        </w:rPr>
        <w:t xml:space="preserve">egulatory </w:t>
      </w:r>
      <w:r>
        <w:rPr>
          <w:rFonts w:eastAsia="Times New Roman"/>
        </w:rPr>
        <w:t>c</w:t>
      </w:r>
      <w:r w:rsidRPr="00591052">
        <w:rPr>
          <w:rFonts w:eastAsia="Times New Roman"/>
        </w:rPr>
        <w:t xml:space="preserve">ompliance is the same person as Management </w:t>
      </w:r>
      <w:r>
        <w:rPr>
          <w:rFonts w:eastAsia="Times New Roman"/>
        </w:rPr>
        <w:t>R</w:t>
      </w:r>
      <w:r w:rsidRPr="00591052">
        <w:rPr>
          <w:rFonts w:eastAsia="Times New Roman"/>
        </w:rPr>
        <w:t>epresentative, you can delete this.</w:t>
      </w:r>
    </w:p>
  </w:comment>
  <w:comment w:id="11" w:author="Advisera" w:date="2023-09-29T14:14:00Z" w:initials="AES">
    <w:p w14:paraId="621BE803" w14:textId="612BBD19" w:rsidR="00C8741C" w:rsidRDefault="008D331E" w:rsidP="00C8741C">
      <w:pPr>
        <w:pStyle w:val="CommentText"/>
      </w:pPr>
      <w:r>
        <w:rPr>
          <w:rStyle w:val="CommentReference"/>
        </w:rPr>
        <w:annotationRef/>
      </w:r>
      <w:r w:rsidRPr="000F5317">
        <w:rPr>
          <w:rStyle w:val="CommentReference"/>
        </w:rPr>
        <w:annotationRef/>
      </w:r>
      <w:r w:rsidR="00C8741C">
        <w:rPr>
          <w:rStyle w:val="CommentReference"/>
        </w:rPr>
        <w:t>…</w:t>
      </w:r>
    </w:p>
    <w:p w14:paraId="4021C5CA" w14:textId="460255DB" w:rsidR="008D331E" w:rsidRDefault="008D331E">
      <w:pPr>
        <w:pStyle w:val="CommentText"/>
      </w:pPr>
    </w:p>
  </w:comment>
  <w:comment w:id="12" w:author="Advisera" w:date="2023-09-29T14:00:00Z" w:initials="AES">
    <w:p w14:paraId="336990C5" w14:textId="773EA036" w:rsidR="00414432" w:rsidRPr="00414432" w:rsidRDefault="00414432">
      <w:pPr>
        <w:pStyle w:val="CommentText"/>
        <w:rPr>
          <w:rFonts w:eastAsia="Times New Roman"/>
        </w:rPr>
      </w:pPr>
      <w:r>
        <w:rPr>
          <w:rStyle w:val="CommentReference"/>
        </w:rPr>
        <w:annotationRef/>
      </w:r>
      <w:r w:rsidRPr="00414432">
        <w:rPr>
          <w:rFonts w:eastAsia="Times New Roman"/>
          <w:sz w:val="16"/>
          <w:szCs w:val="16"/>
        </w:rPr>
        <w:annotationRef/>
      </w:r>
      <w:r w:rsidRPr="00414432">
        <w:rPr>
          <w:rFonts w:eastAsia="Times New Roman"/>
        </w:rPr>
        <w:t>You can find a template for this document in the ISO 13485 &amp; MDR Integrated Documentation Toolkit, folder “08_Sales”.</w:t>
      </w:r>
    </w:p>
  </w:comment>
  <w:comment w:id="13" w:author="Advisera" w:date="2023-09-29T14:00:00Z" w:initials="AES">
    <w:p w14:paraId="0E61A5A7" w14:textId="6C5B17C2" w:rsidR="00414432" w:rsidRPr="00414432" w:rsidRDefault="00414432">
      <w:pPr>
        <w:pStyle w:val="CommentText"/>
        <w:rPr>
          <w:rFonts w:eastAsia="Times New Roman"/>
        </w:rPr>
      </w:pPr>
      <w:r>
        <w:rPr>
          <w:rStyle w:val="CommentReference"/>
        </w:rPr>
        <w:annotationRef/>
      </w:r>
      <w:r w:rsidRPr="00414432">
        <w:rPr>
          <w:rFonts w:eastAsia="Times New Roman"/>
          <w:sz w:val="16"/>
          <w:szCs w:val="16"/>
        </w:rPr>
        <w:annotationRef/>
      </w:r>
      <w:r w:rsidRPr="00414432">
        <w:rPr>
          <w:rFonts w:eastAsia="Times New Roman"/>
          <w:sz w:val="16"/>
          <w:szCs w:val="16"/>
        </w:rPr>
        <w:annotationRef/>
      </w:r>
      <w:r w:rsidRPr="00414432">
        <w:rPr>
          <w:rFonts w:eastAsia="Times New Roman"/>
          <w:sz w:val="16"/>
          <w:szCs w:val="16"/>
        </w:rPr>
        <w:annotationRef/>
      </w:r>
      <w:r w:rsidRPr="00414432">
        <w:rPr>
          <w:rFonts w:eastAsia="Times New Roman"/>
        </w:rPr>
        <w:t>You can find a template for this document in the ISO 13485 &amp; MDR Integrated Documentation Toolkit, folder “07_Risk_Management”.</w:t>
      </w:r>
    </w:p>
  </w:comment>
  <w:comment w:id="14" w:author="Advisera" w:date="2023-09-29T14:00:00Z" w:initials="AES">
    <w:p w14:paraId="7B9EA6F5" w14:textId="762A9710" w:rsidR="00414432" w:rsidRPr="00414432" w:rsidRDefault="00414432">
      <w:pPr>
        <w:pStyle w:val="CommentText"/>
        <w:rPr>
          <w:rFonts w:eastAsia="Times New Roman"/>
        </w:rPr>
      </w:pPr>
      <w:r>
        <w:rPr>
          <w:rStyle w:val="CommentReference"/>
        </w:rPr>
        <w:annotationRef/>
      </w:r>
      <w:r w:rsidRPr="00414432">
        <w:rPr>
          <w:rFonts w:eastAsia="Times New Roman"/>
          <w:sz w:val="16"/>
          <w:szCs w:val="16"/>
        </w:rPr>
        <w:annotationRef/>
      </w:r>
      <w:r w:rsidRPr="00414432">
        <w:rPr>
          <w:rFonts w:eastAsia="Times New Roman"/>
          <w:sz w:val="16"/>
          <w:szCs w:val="16"/>
        </w:rPr>
        <w:annotationRef/>
      </w:r>
      <w:r w:rsidRPr="00414432">
        <w:rPr>
          <w:rFonts w:eastAsia="Times New Roman"/>
        </w:rPr>
        <w:t>You can find a template for this document in the ISO 13485 &amp; MDR Integrated Documentation Toolkit, folder “19_Adverse_Event_Investigation”.</w:t>
      </w:r>
    </w:p>
  </w:comment>
  <w:comment w:id="15" w:author="Advisera" w:date="2023-09-29T14:01:00Z" w:initials="AES">
    <w:p w14:paraId="36BA225A" w14:textId="7AAA1CFD" w:rsidR="00414432" w:rsidRPr="00414432" w:rsidRDefault="00414432">
      <w:pPr>
        <w:pStyle w:val="CommentText"/>
        <w:rPr>
          <w:rFonts w:eastAsia="Times New Roman"/>
        </w:rPr>
      </w:pPr>
      <w:r>
        <w:rPr>
          <w:rStyle w:val="CommentReference"/>
        </w:rPr>
        <w:annotationRef/>
      </w:r>
      <w:r w:rsidRPr="00414432">
        <w:rPr>
          <w:rFonts w:eastAsia="Times New Roman"/>
          <w:sz w:val="16"/>
          <w:szCs w:val="16"/>
        </w:rPr>
        <w:annotationRef/>
      </w:r>
      <w:r w:rsidRPr="00414432">
        <w:rPr>
          <w:rFonts w:eastAsia="Times New Roman"/>
          <w:sz w:val="16"/>
          <w:szCs w:val="16"/>
        </w:rPr>
        <w:annotationRef/>
      </w:r>
      <w:r w:rsidRPr="00414432">
        <w:rPr>
          <w:rFonts w:eastAsia="Times New Roman"/>
        </w:rPr>
        <w:t>You can find a template for this document in the ISO 13485 &amp; MDR Integrated Documentation Toolkit, folder “25_Corrective_and_Preventive_Action”.</w:t>
      </w:r>
    </w:p>
  </w:comment>
  <w:comment w:id="16" w:author="Advisera" w:date="2023-09-29T14:01:00Z" w:initials="AES">
    <w:p w14:paraId="7C03FF0E" w14:textId="3A1E2653" w:rsidR="00414432" w:rsidRPr="00414432" w:rsidRDefault="00414432">
      <w:pPr>
        <w:pStyle w:val="CommentText"/>
        <w:rPr>
          <w:rFonts w:eastAsia="Times New Roman"/>
        </w:rPr>
      </w:pPr>
      <w:r>
        <w:rPr>
          <w:rStyle w:val="CommentReference"/>
        </w:rPr>
        <w:annotationRef/>
      </w:r>
      <w:r w:rsidRPr="00414432">
        <w:rPr>
          <w:rFonts w:eastAsia="Times New Roman"/>
          <w:sz w:val="16"/>
          <w:szCs w:val="16"/>
        </w:rPr>
        <w:annotationRef/>
      </w:r>
      <w:r w:rsidRPr="00414432">
        <w:rPr>
          <w:rFonts w:eastAsia="Times New Roman"/>
        </w:rPr>
        <w:t>You can find a template for this document in the ISO 13485 &amp; MDR Integrated Documentation Toolkit, folder “26_Data_Analysis”.</w:t>
      </w:r>
    </w:p>
  </w:comment>
  <w:comment w:id="17" w:author="Advisera" w:date="2023-09-29T14:01:00Z" w:initials="AES">
    <w:p w14:paraId="2D2DCFE1" w14:textId="62CB344F" w:rsidR="00414432" w:rsidRPr="00414432" w:rsidRDefault="00414432">
      <w:pPr>
        <w:pStyle w:val="CommentText"/>
        <w:rPr>
          <w:rFonts w:eastAsia="Times New Roman"/>
        </w:rPr>
      </w:pPr>
      <w:r>
        <w:rPr>
          <w:rStyle w:val="CommentReference"/>
        </w:rPr>
        <w:annotationRef/>
      </w:r>
      <w:r w:rsidRPr="00414432">
        <w:rPr>
          <w:rFonts w:eastAsia="Times New Roman"/>
          <w:sz w:val="16"/>
          <w:szCs w:val="16"/>
        </w:rPr>
        <w:annotationRef/>
      </w:r>
      <w:r w:rsidRPr="00414432">
        <w:rPr>
          <w:rFonts w:eastAsia="Times New Roman"/>
        </w:rPr>
        <w:t>You can find a template for this document in the ISO 13485 &amp; MDR Integrated Documentation Toolkit, folder “03_Quality_Manual”.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A3904C" w15:done="0"/>
  <w15:commentEx w15:paraId="33A35E70" w15:done="0"/>
  <w15:commentEx w15:paraId="1D6AB5DF" w15:done="0"/>
  <w15:commentEx w15:paraId="02EE650E" w15:done="0"/>
  <w15:commentEx w15:paraId="63CBAAAD" w15:done="0"/>
  <w15:commentEx w15:paraId="4021C5CA" w15:done="0"/>
  <w15:commentEx w15:paraId="336990C5" w15:done="0"/>
  <w15:commentEx w15:paraId="0E61A5A7" w15:done="0"/>
  <w15:commentEx w15:paraId="7B9EA6F5" w15:done="0"/>
  <w15:commentEx w15:paraId="36BA225A" w15:done="0"/>
  <w15:commentEx w15:paraId="7C03FF0E" w15:done="0"/>
  <w15:commentEx w15:paraId="2D2DCF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A3904C" w16cid:durableId="28B58D2E"/>
  <w16cid:commentId w16cid:paraId="33A35E70" w16cid:durableId="28B58CF8"/>
  <w16cid:commentId w16cid:paraId="1D6AB5DF" w16cid:durableId="28B58CF9"/>
  <w16cid:commentId w16cid:paraId="02EE650E" w16cid:durableId="28C1599A"/>
  <w16cid:commentId w16cid:paraId="63CBAAAD" w16cid:durableId="28C14A54"/>
  <w16cid:commentId w16cid:paraId="4021C5CA" w16cid:durableId="28C15A29"/>
  <w16cid:commentId w16cid:paraId="336990C5" w16cid:durableId="28C156FB"/>
  <w16cid:commentId w16cid:paraId="0E61A5A7" w16cid:durableId="28C15706"/>
  <w16cid:commentId w16cid:paraId="7B9EA6F5" w16cid:durableId="28C15712"/>
  <w16cid:commentId w16cid:paraId="36BA225A" w16cid:durableId="28C1571F"/>
  <w16cid:commentId w16cid:paraId="7C03FF0E" w16cid:durableId="28C1572A"/>
  <w16cid:commentId w16cid:paraId="2D2DCFE1" w16cid:durableId="28C157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D66D0" w14:textId="77777777" w:rsidR="00525E36" w:rsidRDefault="00525E36" w:rsidP="00F961E0">
      <w:pPr>
        <w:spacing w:after="0" w:line="240" w:lineRule="auto"/>
      </w:pPr>
      <w:r>
        <w:separator/>
      </w:r>
    </w:p>
  </w:endnote>
  <w:endnote w:type="continuationSeparator" w:id="0">
    <w:p w14:paraId="2D3692C5" w14:textId="77777777" w:rsidR="00525E36" w:rsidRDefault="00525E36"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8"/>
      <w:gridCol w:w="3067"/>
      <w:gridCol w:w="3067"/>
    </w:tblGrid>
    <w:tr w:rsidR="00D669BF" w:rsidRPr="00386DCE" w14:paraId="19F29F31" w14:textId="77777777" w:rsidTr="00806544">
      <w:tc>
        <w:tcPr>
          <w:tcW w:w="2999" w:type="dxa"/>
        </w:tcPr>
        <w:p w14:paraId="34C99784" w14:textId="6AB3A81B" w:rsidR="00D669BF" w:rsidRPr="00386DCE" w:rsidRDefault="00591052" w:rsidP="00F961E0">
          <w:pPr>
            <w:pStyle w:val="Footer"/>
            <w:rPr>
              <w:sz w:val="18"/>
              <w:szCs w:val="18"/>
            </w:rPr>
          </w:pPr>
          <w:r w:rsidRPr="00591052">
            <w:rPr>
              <w:sz w:val="18"/>
            </w:rPr>
            <w:t>Procedure for Post-Market Surveillance System</w:t>
          </w:r>
        </w:p>
      </w:tc>
      <w:tc>
        <w:tcPr>
          <w:tcW w:w="2999" w:type="dxa"/>
        </w:tcPr>
        <w:p w14:paraId="34C666EA" w14:textId="77777777" w:rsidR="00D669BF" w:rsidRPr="00386DCE" w:rsidRDefault="00DC79F6" w:rsidP="006571EC">
          <w:pPr>
            <w:pStyle w:val="Footer"/>
            <w:jc w:val="center"/>
            <w:rPr>
              <w:sz w:val="18"/>
              <w:szCs w:val="18"/>
            </w:rPr>
          </w:pPr>
          <w:r w:rsidRPr="00386DCE">
            <w:rPr>
              <w:sz w:val="18"/>
            </w:rPr>
            <w:t>ver.</w:t>
          </w:r>
          <w:r w:rsidR="00D669BF" w:rsidRPr="00386DCE">
            <w:rPr>
              <w:sz w:val="18"/>
            </w:rPr>
            <w:t xml:space="preserve"> [version] from [date]</w:t>
          </w:r>
        </w:p>
      </w:tc>
      <w:tc>
        <w:tcPr>
          <w:tcW w:w="2999" w:type="dxa"/>
        </w:tcPr>
        <w:p w14:paraId="3A66EF2F" w14:textId="5B9F8362" w:rsidR="00D669BF" w:rsidRPr="00386DCE" w:rsidRDefault="00D669BF" w:rsidP="006571EC">
          <w:pPr>
            <w:pStyle w:val="Footer"/>
            <w:jc w:val="right"/>
            <w:rPr>
              <w:b/>
              <w:sz w:val="18"/>
              <w:szCs w:val="18"/>
            </w:rPr>
          </w:pPr>
          <w:r w:rsidRPr="00386DCE">
            <w:rPr>
              <w:sz w:val="18"/>
            </w:rPr>
            <w:t xml:space="preserve">Page </w:t>
          </w:r>
          <w:r w:rsidR="00034FCC" w:rsidRPr="00386DCE">
            <w:rPr>
              <w:b/>
              <w:sz w:val="18"/>
            </w:rPr>
            <w:fldChar w:fldCharType="begin"/>
          </w:r>
          <w:r w:rsidRPr="00386DCE">
            <w:rPr>
              <w:b/>
              <w:sz w:val="18"/>
            </w:rPr>
            <w:instrText xml:space="preserve"> PAGE </w:instrText>
          </w:r>
          <w:r w:rsidR="00034FCC" w:rsidRPr="00386DCE">
            <w:rPr>
              <w:b/>
              <w:sz w:val="18"/>
            </w:rPr>
            <w:fldChar w:fldCharType="separate"/>
          </w:r>
          <w:r w:rsidR="00BC1440">
            <w:rPr>
              <w:b/>
              <w:noProof/>
              <w:sz w:val="18"/>
            </w:rPr>
            <w:t>4</w:t>
          </w:r>
          <w:r w:rsidR="00034FCC" w:rsidRPr="00386DCE">
            <w:rPr>
              <w:b/>
              <w:sz w:val="18"/>
            </w:rPr>
            <w:fldChar w:fldCharType="end"/>
          </w:r>
          <w:r w:rsidRPr="00386DCE">
            <w:rPr>
              <w:sz w:val="18"/>
            </w:rPr>
            <w:t xml:space="preserve"> of </w:t>
          </w:r>
          <w:r w:rsidR="00034FCC" w:rsidRPr="00386DCE">
            <w:rPr>
              <w:b/>
              <w:sz w:val="18"/>
            </w:rPr>
            <w:fldChar w:fldCharType="begin"/>
          </w:r>
          <w:r w:rsidRPr="00386DCE">
            <w:rPr>
              <w:b/>
              <w:sz w:val="18"/>
            </w:rPr>
            <w:instrText xml:space="preserve"> NUMPAGES  </w:instrText>
          </w:r>
          <w:r w:rsidR="00034FCC" w:rsidRPr="00386DCE">
            <w:rPr>
              <w:b/>
              <w:sz w:val="18"/>
            </w:rPr>
            <w:fldChar w:fldCharType="separate"/>
          </w:r>
          <w:r w:rsidR="00BC1440">
            <w:rPr>
              <w:b/>
              <w:noProof/>
              <w:sz w:val="18"/>
            </w:rPr>
            <w:t>4</w:t>
          </w:r>
          <w:r w:rsidR="00034FCC" w:rsidRPr="00386DCE">
            <w:rPr>
              <w:b/>
              <w:sz w:val="18"/>
            </w:rPr>
            <w:fldChar w:fldCharType="end"/>
          </w:r>
        </w:p>
      </w:tc>
    </w:tr>
  </w:tbl>
  <w:p w14:paraId="0A0035AF" w14:textId="206D72CC" w:rsidR="00D669BF" w:rsidRPr="00386DCE" w:rsidRDefault="00591052" w:rsidP="00386DCE">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382D58C4" w:rsidR="00D669BF" w:rsidRPr="00386DCE" w:rsidRDefault="00591052" w:rsidP="004B1E43">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DD8FB" w14:textId="77777777" w:rsidR="00525E36" w:rsidRDefault="00525E36" w:rsidP="00F961E0">
      <w:pPr>
        <w:spacing w:after="0" w:line="240" w:lineRule="auto"/>
      </w:pPr>
      <w:r>
        <w:separator/>
      </w:r>
    </w:p>
  </w:footnote>
  <w:footnote w:type="continuationSeparator" w:id="0">
    <w:p w14:paraId="0113E807" w14:textId="77777777" w:rsidR="00525E36" w:rsidRDefault="00525E36"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D669BF" w:rsidRPr="00386DCE" w14:paraId="7D1142C5" w14:textId="77777777" w:rsidTr="00806544">
      <w:tc>
        <w:tcPr>
          <w:tcW w:w="6771" w:type="dxa"/>
        </w:tcPr>
        <w:p w14:paraId="72F8D0DE" w14:textId="561DC269" w:rsidR="00D669BF" w:rsidRPr="00386DCE" w:rsidRDefault="00D669BF" w:rsidP="006571EC">
          <w:pPr>
            <w:pStyle w:val="Header"/>
            <w:spacing w:after="0"/>
            <w:rPr>
              <w:sz w:val="20"/>
              <w:szCs w:val="20"/>
            </w:rPr>
          </w:pPr>
          <w:r w:rsidRPr="00386DCE">
            <w:rPr>
              <w:sz w:val="20"/>
              <w:szCs w:val="20"/>
            </w:rPr>
            <w:t>[organization name]</w:t>
          </w:r>
        </w:p>
      </w:tc>
      <w:tc>
        <w:tcPr>
          <w:tcW w:w="2517" w:type="dxa"/>
        </w:tcPr>
        <w:p w14:paraId="4E71C14B" w14:textId="77777777" w:rsidR="00D669BF" w:rsidRPr="00386DCE" w:rsidRDefault="00D669BF" w:rsidP="006571EC">
          <w:pPr>
            <w:pStyle w:val="Header"/>
            <w:spacing w:after="0"/>
            <w:jc w:val="right"/>
            <w:rPr>
              <w:sz w:val="20"/>
              <w:szCs w:val="20"/>
            </w:rPr>
          </w:pPr>
        </w:p>
      </w:tc>
    </w:tr>
  </w:tbl>
  <w:p w14:paraId="1A3B6852" w14:textId="77777777" w:rsidR="00D669BF" w:rsidRPr="00386DCE" w:rsidRDefault="00D669B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2" type="#_x0000_t75" style="width:43pt;height:43.9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27A417D"/>
    <w:multiLevelType w:val="hybridMultilevel"/>
    <w:tmpl w:val="375AF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78003C"/>
    <w:multiLevelType w:val="hybridMultilevel"/>
    <w:tmpl w:val="32A69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15:restartNumberingAfterBreak="0">
    <w:nsid w:val="3B5F624A"/>
    <w:multiLevelType w:val="hybridMultilevel"/>
    <w:tmpl w:val="0A84C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2"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753389C"/>
    <w:multiLevelType w:val="hybridMultilevel"/>
    <w:tmpl w:val="F806C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861118"/>
    <w:multiLevelType w:val="hybridMultilevel"/>
    <w:tmpl w:val="1116F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8EF383A"/>
    <w:multiLevelType w:val="hybridMultilevel"/>
    <w:tmpl w:val="B64AD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4"/>
  </w:num>
  <w:num w:numId="5">
    <w:abstractNumId w:val="13"/>
  </w:num>
  <w:num w:numId="6">
    <w:abstractNumId w:val="15"/>
  </w:num>
  <w:num w:numId="7">
    <w:abstractNumId w:val="10"/>
  </w:num>
  <w:num w:numId="8">
    <w:abstractNumId w:val="18"/>
  </w:num>
  <w:num w:numId="9">
    <w:abstractNumId w:val="6"/>
  </w:num>
  <w:num w:numId="10">
    <w:abstractNumId w:val="8"/>
  </w:num>
  <w:num w:numId="11">
    <w:abstractNumId w:val="16"/>
  </w:num>
  <w:num w:numId="12">
    <w:abstractNumId w:val="17"/>
  </w:num>
  <w:num w:numId="13">
    <w:abstractNumId w:val="9"/>
  </w:num>
  <w:num w:numId="14">
    <w:abstractNumId w:val="1"/>
  </w:num>
  <w:num w:numId="15">
    <w:abstractNumId w:val="19"/>
  </w:num>
  <w:num w:numId="16">
    <w:abstractNumId w:val="4"/>
  </w:num>
  <w:num w:numId="17">
    <w:abstractNumId w:val="5"/>
  </w:num>
  <w:num w:numId="18">
    <w:abstractNumId w:val="12"/>
  </w:num>
  <w:num w:numId="19">
    <w:abstractNumId w:val="11"/>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111E6"/>
    <w:rsid w:val="000259D2"/>
    <w:rsid w:val="00030EF8"/>
    <w:rsid w:val="00033CF9"/>
    <w:rsid w:val="00034FCC"/>
    <w:rsid w:val="00035E5A"/>
    <w:rsid w:val="00040AF7"/>
    <w:rsid w:val="000607DC"/>
    <w:rsid w:val="00065FFB"/>
    <w:rsid w:val="00066319"/>
    <w:rsid w:val="00071835"/>
    <w:rsid w:val="00072410"/>
    <w:rsid w:val="00084A4D"/>
    <w:rsid w:val="000A0436"/>
    <w:rsid w:val="000A23E5"/>
    <w:rsid w:val="000C1479"/>
    <w:rsid w:val="000E11FD"/>
    <w:rsid w:val="000F0B85"/>
    <w:rsid w:val="000F16F4"/>
    <w:rsid w:val="00110F5C"/>
    <w:rsid w:val="00111B50"/>
    <w:rsid w:val="00113E7A"/>
    <w:rsid w:val="0012399D"/>
    <w:rsid w:val="001617C3"/>
    <w:rsid w:val="00166491"/>
    <w:rsid w:val="00167870"/>
    <w:rsid w:val="00170411"/>
    <w:rsid w:val="00174B57"/>
    <w:rsid w:val="001865A2"/>
    <w:rsid w:val="001916A8"/>
    <w:rsid w:val="00195858"/>
    <w:rsid w:val="001B18F4"/>
    <w:rsid w:val="001B627C"/>
    <w:rsid w:val="001E1369"/>
    <w:rsid w:val="001F0409"/>
    <w:rsid w:val="001F1FA6"/>
    <w:rsid w:val="00231915"/>
    <w:rsid w:val="00240CB4"/>
    <w:rsid w:val="00247669"/>
    <w:rsid w:val="002539EC"/>
    <w:rsid w:val="0026388C"/>
    <w:rsid w:val="00265B41"/>
    <w:rsid w:val="002714DD"/>
    <w:rsid w:val="00272162"/>
    <w:rsid w:val="00282C60"/>
    <w:rsid w:val="00291031"/>
    <w:rsid w:val="002939F9"/>
    <w:rsid w:val="002A5F8B"/>
    <w:rsid w:val="002B033E"/>
    <w:rsid w:val="002D47C7"/>
    <w:rsid w:val="002D4E89"/>
    <w:rsid w:val="002E5E5E"/>
    <w:rsid w:val="002F464D"/>
    <w:rsid w:val="00301C2D"/>
    <w:rsid w:val="003056A1"/>
    <w:rsid w:val="003056B2"/>
    <w:rsid w:val="0031298A"/>
    <w:rsid w:val="003159B8"/>
    <w:rsid w:val="003360AA"/>
    <w:rsid w:val="00336C6C"/>
    <w:rsid w:val="00341954"/>
    <w:rsid w:val="00347885"/>
    <w:rsid w:val="00351A7B"/>
    <w:rsid w:val="00357DA9"/>
    <w:rsid w:val="0036224F"/>
    <w:rsid w:val="00373881"/>
    <w:rsid w:val="00373C87"/>
    <w:rsid w:val="0038697F"/>
    <w:rsid w:val="00386DCE"/>
    <w:rsid w:val="00393903"/>
    <w:rsid w:val="00395C52"/>
    <w:rsid w:val="00397CF8"/>
    <w:rsid w:val="003A212D"/>
    <w:rsid w:val="003A5D9D"/>
    <w:rsid w:val="003B1F24"/>
    <w:rsid w:val="003D03A0"/>
    <w:rsid w:val="003D326F"/>
    <w:rsid w:val="003F63F4"/>
    <w:rsid w:val="00414432"/>
    <w:rsid w:val="004171E5"/>
    <w:rsid w:val="00422E6C"/>
    <w:rsid w:val="00432BAB"/>
    <w:rsid w:val="004335C4"/>
    <w:rsid w:val="00437A40"/>
    <w:rsid w:val="00450464"/>
    <w:rsid w:val="00456A0D"/>
    <w:rsid w:val="00470DF6"/>
    <w:rsid w:val="00483A17"/>
    <w:rsid w:val="00487F5E"/>
    <w:rsid w:val="004B1E43"/>
    <w:rsid w:val="004B33D9"/>
    <w:rsid w:val="004C00D2"/>
    <w:rsid w:val="004D3B0D"/>
    <w:rsid w:val="004D7B7E"/>
    <w:rsid w:val="004E467B"/>
    <w:rsid w:val="0051619E"/>
    <w:rsid w:val="00524EA0"/>
    <w:rsid w:val="00525E36"/>
    <w:rsid w:val="00536067"/>
    <w:rsid w:val="00542B74"/>
    <w:rsid w:val="00547F11"/>
    <w:rsid w:val="00554140"/>
    <w:rsid w:val="0056521D"/>
    <w:rsid w:val="005773A4"/>
    <w:rsid w:val="00582C00"/>
    <w:rsid w:val="0059006B"/>
    <w:rsid w:val="00591052"/>
    <w:rsid w:val="005B094C"/>
    <w:rsid w:val="005C3AC6"/>
    <w:rsid w:val="005D4821"/>
    <w:rsid w:val="005E2633"/>
    <w:rsid w:val="00601E84"/>
    <w:rsid w:val="00604D85"/>
    <w:rsid w:val="006210DE"/>
    <w:rsid w:val="006225A6"/>
    <w:rsid w:val="00622BB6"/>
    <w:rsid w:val="0062462E"/>
    <w:rsid w:val="00626075"/>
    <w:rsid w:val="006467CE"/>
    <w:rsid w:val="006571EC"/>
    <w:rsid w:val="00657434"/>
    <w:rsid w:val="00667EE3"/>
    <w:rsid w:val="00677CF9"/>
    <w:rsid w:val="00695EB9"/>
    <w:rsid w:val="006D3722"/>
    <w:rsid w:val="006D7C63"/>
    <w:rsid w:val="006F535E"/>
    <w:rsid w:val="00711616"/>
    <w:rsid w:val="00720F0B"/>
    <w:rsid w:val="0072113B"/>
    <w:rsid w:val="00725A2E"/>
    <w:rsid w:val="00746E3C"/>
    <w:rsid w:val="007532E8"/>
    <w:rsid w:val="007643BA"/>
    <w:rsid w:val="00774299"/>
    <w:rsid w:val="007753AF"/>
    <w:rsid w:val="00785BA2"/>
    <w:rsid w:val="00786585"/>
    <w:rsid w:val="00791EB2"/>
    <w:rsid w:val="007A4D27"/>
    <w:rsid w:val="007C1892"/>
    <w:rsid w:val="007C1D7C"/>
    <w:rsid w:val="007C74EA"/>
    <w:rsid w:val="007D1208"/>
    <w:rsid w:val="007E7655"/>
    <w:rsid w:val="007E77E2"/>
    <w:rsid w:val="007E7ADC"/>
    <w:rsid w:val="00802D6E"/>
    <w:rsid w:val="00806544"/>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76984"/>
    <w:rsid w:val="008824D7"/>
    <w:rsid w:val="00883090"/>
    <w:rsid w:val="008A14B6"/>
    <w:rsid w:val="008A6913"/>
    <w:rsid w:val="008B0B6F"/>
    <w:rsid w:val="008B4979"/>
    <w:rsid w:val="008B50E4"/>
    <w:rsid w:val="008B74AB"/>
    <w:rsid w:val="008C0C6F"/>
    <w:rsid w:val="008C3DBF"/>
    <w:rsid w:val="008D3293"/>
    <w:rsid w:val="008D331E"/>
    <w:rsid w:val="008E3AF3"/>
    <w:rsid w:val="008E46E0"/>
    <w:rsid w:val="008F09A9"/>
    <w:rsid w:val="008F7A4B"/>
    <w:rsid w:val="008F7E62"/>
    <w:rsid w:val="00901B53"/>
    <w:rsid w:val="00901C5A"/>
    <w:rsid w:val="00903549"/>
    <w:rsid w:val="00903ED2"/>
    <w:rsid w:val="00903F73"/>
    <w:rsid w:val="00906D85"/>
    <w:rsid w:val="00917028"/>
    <w:rsid w:val="00924856"/>
    <w:rsid w:val="00927DFD"/>
    <w:rsid w:val="0093397C"/>
    <w:rsid w:val="00933D5C"/>
    <w:rsid w:val="009418DE"/>
    <w:rsid w:val="0095138F"/>
    <w:rsid w:val="0095164F"/>
    <w:rsid w:val="009628FC"/>
    <w:rsid w:val="009715A1"/>
    <w:rsid w:val="00980AA9"/>
    <w:rsid w:val="00980AEF"/>
    <w:rsid w:val="00985669"/>
    <w:rsid w:val="00985E0F"/>
    <w:rsid w:val="0098679D"/>
    <w:rsid w:val="00986DBE"/>
    <w:rsid w:val="00991DB0"/>
    <w:rsid w:val="00995647"/>
    <w:rsid w:val="009A3B76"/>
    <w:rsid w:val="009A6040"/>
    <w:rsid w:val="009A6755"/>
    <w:rsid w:val="009A7134"/>
    <w:rsid w:val="009B4A5B"/>
    <w:rsid w:val="009C3EB5"/>
    <w:rsid w:val="009C45A7"/>
    <w:rsid w:val="009C48DA"/>
    <w:rsid w:val="009D1685"/>
    <w:rsid w:val="009E35DE"/>
    <w:rsid w:val="009E5D44"/>
    <w:rsid w:val="009F7F6B"/>
    <w:rsid w:val="009F7FF4"/>
    <w:rsid w:val="00A001D6"/>
    <w:rsid w:val="00A16882"/>
    <w:rsid w:val="00A16AFB"/>
    <w:rsid w:val="00A16BD7"/>
    <w:rsid w:val="00A24D70"/>
    <w:rsid w:val="00A26226"/>
    <w:rsid w:val="00A303B1"/>
    <w:rsid w:val="00A31BD5"/>
    <w:rsid w:val="00A33085"/>
    <w:rsid w:val="00A3439E"/>
    <w:rsid w:val="00A37118"/>
    <w:rsid w:val="00A4726E"/>
    <w:rsid w:val="00A61C61"/>
    <w:rsid w:val="00A648D1"/>
    <w:rsid w:val="00A64D7A"/>
    <w:rsid w:val="00A67C52"/>
    <w:rsid w:val="00A77912"/>
    <w:rsid w:val="00A93005"/>
    <w:rsid w:val="00A97D92"/>
    <w:rsid w:val="00AA2DDC"/>
    <w:rsid w:val="00AA51C3"/>
    <w:rsid w:val="00AB20D6"/>
    <w:rsid w:val="00AC3394"/>
    <w:rsid w:val="00AC59BF"/>
    <w:rsid w:val="00AC637E"/>
    <w:rsid w:val="00AD7CE7"/>
    <w:rsid w:val="00AE1927"/>
    <w:rsid w:val="00AF3843"/>
    <w:rsid w:val="00B03893"/>
    <w:rsid w:val="00B04939"/>
    <w:rsid w:val="00B14824"/>
    <w:rsid w:val="00B3068F"/>
    <w:rsid w:val="00B459CA"/>
    <w:rsid w:val="00B5327D"/>
    <w:rsid w:val="00B71B78"/>
    <w:rsid w:val="00B820C6"/>
    <w:rsid w:val="00B836A0"/>
    <w:rsid w:val="00B913B2"/>
    <w:rsid w:val="00B9345E"/>
    <w:rsid w:val="00B971FD"/>
    <w:rsid w:val="00BB42DB"/>
    <w:rsid w:val="00BC1440"/>
    <w:rsid w:val="00BC3045"/>
    <w:rsid w:val="00BC3E4D"/>
    <w:rsid w:val="00BE2612"/>
    <w:rsid w:val="00BE4417"/>
    <w:rsid w:val="00BE654A"/>
    <w:rsid w:val="00BF2A35"/>
    <w:rsid w:val="00BF52E4"/>
    <w:rsid w:val="00C02185"/>
    <w:rsid w:val="00C033F2"/>
    <w:rsid w:val="00C04CA9"/>
    <w:rsid w:val="00C04DB0"/>
    <w:rsid w:val="00C05696"/>
    <w:rsid w:val="00C06C81"/>
    <w:rsid w:val="00C16794"/>
    <w:rsid w:val="00C32174"/>
    <w:rsid w:val="00C40F95"/>
    <w:rsid w:val="00C417CC"/>
    <w:rsid w:val="00C44D6F"/>
    <w:rsid w:val="00C61B88"/>
    <w:rsid w:val="00C61F00"/>
    <w:rsid w:val="00C729A3"/>
    <w:rsid w:val="00C73CE6"/>
    <w:rsid w:val="00C8741C"/>
    <w:rsid w:val="00CA7C10"/>
    <w:rsid w:val="00CB0BD1"/>
    <w:rsid w:val="00CB2292"/>
    <w:rsid w:val="00CB2557"/>
    <w:rsid w:val="00CB2617"/>
    <w:rsid w:val="00CB483D"/>
    <w:rsid w:val="00CB78A3"/>
    <w:rsid w:val="00CC6A85"/>
    <w:rsid w:val="00CD7F7E"/>
    <w:rsid w:val="00CE5ADE"/>
    <w:rsid w:val="00CE73E6"/>
    <w:rsid w:val="00D01489"/>
    <w:rsid w:val="00D0536D"/>
    <w:rsid w:val="00D1635E"/>
    <w:rsid w:val="00D22D97"/>
    <w:rsid w:val="00D4681A"/>
    <w:rsid w:val="00D50075"/>
    <w:rsid w:val="00D539B4"/>
    <w:rsid w:val="00D6023F"/>
    <w:rsid w:val="00D65A47"/>
    <w:rsid w:val="00D669BF"/>
    <w:rsid w:val="00D710A5"/>
    <w:rsid w:val="00D73EFE"/>
    <w:rsid w:val="00D93745"/>
    <w:rsid w:val="00D969CF"/>
    <w:rsid w:val="00DB35CB"/>
    <w:rsid w:val="00DB37F7"/>
    <w:rsid w:val="00DB7B0F"/>
    <w:rsid w:val="00DC79F6"/>
    <w:rsid w:val="00E161EA"/>
    <w:rsid w:val="00E26829"/>
    <w:rsid w:val="00E2771D"/>
    <w:rsid w:val="00E33A47"/>
    <w:rsid w:val="00E364E2"/>
    <w:rsid w:val="00E408CB"/>
    <w:rsid w:val="00E41062"/>
    <w:rsid w:val="00E430F5"/>
    <w:rsid w:val="00E473CF"/>
    <w:rsid w:val="00E56E9E"/>
    <w:rsid w:val="00E714B3"/>
    <w:rsid w:val="00E760D8"/>
    <w:rsid w:val="00E82D34"/>
    <w:rsid w:val="00EA08A9"/>
    <w:rsid w:val="00EA29A2"/>
    <w:rsid w:val="00EB368F"/>
    <w:rsid w:val="00EB76C5"/>
    <w:rsid w:val="00EC50AA"/>
    <w:rsid w:val="00EC6046"/>
    <w:rsid w:val="00ED15C3"/>
    <w:rsid w:val="00EE307D"/>
    <w:rsid w:val="00EE5253"/>
    <w:rsid w:val="00EE5A85"/>
    <w:rsid w:val="00EE699E"/>
    <w:rsid w:val="00EF4FAC"/>
    <w:rsid w:val="00EF7719"/>
    <w:rsid w:val="00F007B7"/>
    <w:rsid w:val="00F069E6"/>
    <w:rsid w:val="00F07F39"/>
    <w:rsid w:val="00F125D5"/>
    <w:rsid w:val="00F1470B"/>
    <w:rsid w:val="00F27883"/>
    <w:rsid w:val="00F27F06"/>
    <w:rsid w:val="00F346D8"/>
    <w:rsid w:val="00F37C34"/>
    <w:rsid w:val="00F37DA3"/>
    <w:rsid w:val="00F627F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E7748"/>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98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876984"/>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19418">
      <w:bodyDiv w:val="1"/>
      <w:marLeft w:val="0"/>
      <w:marRight w:val="0"/>
      <w:marTop w:val="0"/>
      <w:marBottom w:val="0"/>
      <w:divBdr>
        <w:top w:val="none" w:sz="0" w:space="0" w:color="auto"/>
        <w:left w:val="none" w:sz="0" w:space="0" w:color="auto"/>
        <w:bottom w:val="none" w:sz="0" w:space="0" w:color="auto"/>
        <w:right w:val="none" w:sz="0" w:space="0" w:color="auto"/>
      </w:divBdr>
    </w:div>
    <w:div w:id="316767504">
      <w:bodyDiv w:val="1"/>
      <w:marLeft w:val="0"/>
      <w:marRight w:val="0"/>
      <w:marTop w:val="0"/>
      <w:marBottom w:val="0"/>
      <w:divBdr>
        <w:top w:val="none" w:sz="0" w:space="0" w:color="auto"/>
        <w:left w:val="none" w:sz="0" w:space="0" w:color="auto"/>
        <w:bottom w:val="none" w:sz="0" w:space="0" w:color="auto"/>
        <w:right w:val="none" w:sz="0" w:space="0" w:color="auto"/>
      </w:divBdr>
    </w:div>
    <w:div w:id="1468353331">
      <w:bodyDiv w:val="1"/>
      <w:marLeft w:val="0"/>
      <w:marRight w:val="0"/>
      <w:marTop w:val="0"/>
      <w:marBottom w:val="0"/>
      <w:divBdr>
        <w:top w:val="none" w:sz="0" w:space="0" w:color="auto"/>
        <w:left w:val="none" w:sz="0" w:space="0" w:color="auto"/>
        <w:bottom w:val="none" w:sz="0" w:space="0" w:color="auto"/>
        <w:right w:val="none" w:sz="0" w:space="0" w:color="auto"/>
      </w:divBdr>
    </w:div>
    <w:div w:id="198962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7ADFE-D0B9-46BA-8625-0BDE950DB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641</Words>
  <Characters>3654</Characters>
  <Application>Microsoft Office Word</Application>
  <DocSecurity>0</DocSecurity>
  <Lines>30</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Procedure for Post-Market Surveillance System</vt:lpstr>
      <vt:lpstr>Blank template</vt:lpstr>
      <vt:lpstr>Blank template</vt:lpstr>
    </vt:vector>
  </TitlesOfParts>
  <Company>Advisera Expert Solutions Ltd</Company>
  <LinksUpToDate>false</LinksUpToDate>
  <CharactersWithSpaces>4287</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Post-Market Surveillance System</dc:title>
  <dc:creator>Advisera</dc:creator>
  <dc:description>©2023 This template may be used by clients of Advisera Expert Solutions Ltd. www.advisera.com in accordance with the License Agreement.</dc:description>
  <cp:lastModifiedBy>Advisera</cp:lastModifiedBy>
  <cp:revision>6</cp:revision>
  <cp:lastPrinted>2023-10-16T15:09:00Z</cp:lastPrinted>
  <dcterms:created xsi:type="dcterms:W3CDTF">2023-10-17T12:23:00Z</dcterms:created>
  <dcterms:modified xsi:type="dcterms:W3CDTF">2023-12-08T22:15:00Z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961d5490cbe17dd248ef78e8fab1dcaa71998a22d3cae30420f1e4c4e33c9dfb</vt:lpwstr>
  </property>
</Properties>
</file>